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C01" w:rsidRPr="00020C01" w:rsidRDefault="00020C01" w:rsidP="00020C01">
      <w:pPr>
        <w:widowControl/>
        <w:spacing w:line="510" w:lineRule="atLeast"/>
        <w:jc w:val="center"/>
        <w:rPr>
          <w:rFonts w:ascii="微软雅黑" w:eastAsia="微软雅黑" w:hAnsi="微软雅黑" w:cs="宋体"/>
          <w:b/>
          <w:bCs/>
          <w:color w:val="666666"/>
          <w:kern w:val="0"/>
          <w:sz w:val="36"/>
          <w:szCs w:val="36"/>
        </w:rPr>
      </w:pPr>
      <w:r w:rsidRPr="00020C01">
        <w:rPr>
          <w:rFonts w:ascii="微软雅黑" w:eastAsia="微软雅黑" w:hAnsi="微软雅黑" w:cs="宋体" w:hint="eastAsia"/>
          <w:b/>
          <w:bCs/>
          <w:color w:val="666666"/>
          <w:kern w:val="0"/>
          <w:sz w:val="36"/>
          <w:szCs w:val="36"/>
        </w:rPr>
        <w:t>上海市松江区应急管理局2019年度部门决算</w:t>
      </w:r>
    </w:p>
    <w:p w:rsidR="00020C01" w:rsidRPr="00020C01" w:rsidRDefault="00020C01" w:rsidP="00020C01">
      <w:pPr>
        <w:widowControl/>
        <w:spacing w:line="315" w:lineRule="atLeast"/>
        <w:jc w:val="center"/>
        <w:rPr>
          <w:rFonts w:ascii="微软雅黑" w:eastAsia="微软雅黑" w:hAnsi="微软雅黑" w:cs="宋体"/>
          <w:color w:val="333333"/>
          <w:kern w:val="0"/>
          <w:szCs w:val="21"/>
        </w:rPr>
      </w:pPr>
      <w:r w:rsidRPr="00020C01">
        <w:rPr>
          <w:rFonts w:ascii="黑体" w:eastAsia="黑体" w:hAnsi="黑体" w:cs="宋体" w:hint="eastAsia"/>
          <w:b/>
          <w:bCs/>
          <w:color w:val="333333"/>
          <w:kern w:val="0"/>
          <w:sz w:val="32"/>
          <w:szCs w:val="32"/>
        </w:rPr>
        <w:t>目</w:t>
      </w:r>
      <w:r w:rsidRPr="00020C01">
        <w:rPr>
          <w:rFonts w:ascii="Calibri" w:eastAsia="黑体" w:hAnsi="Calibri" w:cs="Calibri"/>
          <w:b/>
          <w:bCs/>
          <w:color w:val="333333"/>
          <w:kern w:val="0"/>
          <w:sz w:val="32"/>
          <w:szCs w:val="32"/>
        </w:rPr>
        <w:t>  </w:t>
      </w:r>
      <w:r w:rsidRPr="00020C01">
        <w:rPr>
          <w:rFonts w:ascii="黑体" w:eastAsia="黑体" w:hAnsi="黑体" w:cs="宋体" w:hint="eastAsia"/>
          <w:b/>
          <w:bCs/>
          <w:color w:val="333333"/>
          <w:kern w:val="0"/>
          <w:sz w:val="32"/>
          <w:szCs w:val="32"/>
        </w:rPr>
        <w:t>录</w:t>
      </w:r>
    </w:p>
    <w:p w:rsidR="00020C01" w:rsidRPr="00020C01" w:rsidRDefault="00020C01" w:rsidP="00020C01">
      <w:pPr>
        <w:widowControl/>
        <w:spacing w:line="315" w:lineRule="atLeast"/>
        <w:jc w:val="center"/>
        <w:rPr>
          <w:rFonts w:ascii="微软雅黑" w:eastAsia="微软雅黑" w:hAnsi="微软雅黑" w:cs="宋体"/>
          <w:color w:val="333333"/>
          <w:kern w:val="0"/>
          <w:szCs w:val="21"/>
        </w:rPr>
      </w:pPr>
      <w:r w:rsidRPr="00020C01">
        <w:rPr>
          <w:rFonts w:ascii="华文中宋" w:eastAsia="华文中宋" w:hAnsi="华文中宋" w:cs="宋体" w:hint="eastAsia"/>
          <w:b/>
          <w:bCs/>
          <w:color w:val="333333"/>
          <w:kern w:val="0"/>
          <w:sz w:val="36"/>
          <w:szCs w:val="36"/>
        </w:rPr>
        <w:t> </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黑体" w:eastAsia="黑体" w:hAnsi="黑体" w:cs="宋体" w:hint="eastAsia"/>
          <w:color w:val="333333"/>
          <w:kern w:val="0"/>
          <w:sz w:val="30"/>
          <w:szCs w:val="30"/>
        </w:rPr>
        <w:t>第一部分</w:t>
      </w:r>
      <w:r w:rsidRPr="00020C01">
        <w:rPr>
          <w:rFonts w:ascii="Calibri" w:eastAsia="黑体" w:hAnsi="Calibri" w:cs="Calibri"/>
          <w:color w:val="333333"/>
          <w:kern w:val="0"/>
          <w:sz w:val="30"/>
          <w:szCs w:val="30"/>
        </w:rPr>
        <w:t> </w:t>
      </w:r>
      <w:r w:rsidRPr="00020C01">
        <w:rPr>
          <w:rFonts w:ascii="黑体" w:eastAsia="黑体" w:hAnsi="黑体" w:cs="宋体" w:hint="eastAsia"/>
          <w:color w:val="333333"/>
          <w:kern w:val="0"/>
          <w:sz w:val="30"/>
          <w:szCs w:val="30"/>
        </w:rPr>
        <w:t>上海市松江区应急管理局概况</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楷体_GB2312" w:eastAsia="楷体_GB2312" w:hAnsi="微软雅黑" w:cs="宋体" w:hint="eastAsia"/>
          <w:color w:val="333333"/>
          <w:kern w:val="0"/>
          <w:sz w:val="30"/>
          <w:szCs w:val="30"/>
        </w:rPr>
        <w:t>一、主要职能</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楷体_GB2312" w:eastAsia="楷体_GB2312" w:hAnsi="微软雅黑" w:cs="宋体" w:hint="eastAsia"/>
          <w:color w:val="333333"/>
          <w:kern w:val="0"/>
          <w:sz w:val="30"/>
          <w:szCs w:val="30"/>
        </w:rPr>
        <w:t>二、部门决算单位构成</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黑体" w:eastAsia="黑体" w:hAnsi="黑体" w:cs="宋体" w:hint="eastAsia"/>
          <w:color w:val="333333"/>
          <w:kern w:val="0"/>
          <w:sz w:val="30"/>
          <w:szCs w:val="30"/>
        </w:rPr>
        <w:t>第二部分</w:t>
      </w:r>
      <w:r w:rsidRPr="00020C01">
        <w:rPr>
          <w:rFonts w:ascii="Calibri" w:eastAsia="黑体" w:hAnsi="Calibri" w:cs="Calibri"/>
          <w:color w:val="333333"/>
          <w:kern w:val="0"/>
          <w:sz w:val="30"/>
          <w:szCs w:val="30"/>
        </w:rPr>
        <w:t> </w:t>
      </w:r>
      <w:r w:rsidRPr="00020C01">
        <w:rPr>
          <w:rFonts w:ascii="黑体" w:eastAsia="黑体" w:hAnsi="黑体" w:cs="宋体" w:hint="eastAsia"/>
          <w:color w:val="333333"/>
          <w:kern w:val="0"/>
          <w:sz w:val="30"/>
          <w:szCs w:val="30"/>
        </w:rPr>
        <w:t>上海市松江区应急管理局2019年度部门决算表</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楷体_GB2312" w:eastAsia="楷体_GB2312" w:hAnsi="微软雅黑" w:cs="宋体" w:hint="eastAsia"/>
          <w:color w:val="333333"/>
          <w:kern w:val="0"/>
          <w:sz w:val="30"/>
          <w:szCs w:val="30"/>
        </w:rPr>
        <w:t>一、收入支出决算总表</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楷体_GB2312" w:eastAsia="楷体_GB2312" w:hAnsi="微软雅黑" w:cs="宋体" w:hint="eastAsia"/>
          <w:color w:val="333333"/>
          <w:kern w:val="0"/>
          <w:sz w:val="30"/>
          <w:szCs w:val="30"/>
        </w:rPr>
        <w:t>二、收入决算表</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楷体_GB2312" w:eastAsia="楷体_GB2312" w:hAnsi="微软雅黑" w:cs="宋体" w:hint="eastAsia"/>
          <w:color w:val="333333"/>
          <w:kern w:val="0"/>
          <w:sz w:val="30"/>
          <w:szCs w:val="30"/>
        </w:rPr>
        <w:t>三、支出决算表</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楷体_GB2312" w:eastAsia="楷体_GB2312" w:hAnsi="微软雅黑" w:cs="宋体" w:hint="eastAsia"/>
          <w:color w:val="333333"/>
          <w:kern w:val="0"/>
          <w:sz w:val="30"/>
          <w:szCs w:val="30"/>
        </w:rPr>
        <w:t>四、财政拨款收入支出决算总表</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楷体_GB2312" w:eastAsia="楷体_GB2312" w:hAnsi="微软雅黑" w:cs="宋体" w:hint="eastAsia"/>
          <w:color w:val="333333"/>
          <w:kern w:val="0"/>
          <w:sz w:val="30"/>
          <w:szCs w:val="30"/>
        </w:rPr>
        <w:t>五、一般公共预算财政拨款支出决算表</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楷体_GB2312" w:eastAsia="楷体_GB2312" w:hAnsi="微软雅黑" w:cs="宋体" w:hint="eastAsia"/>
          <w:color w:val="333333"/>
          <w:kern w:val="0"/>
          <w:sz w:val="30"/>
          <w:szCs w:val="30"/>
        </w:rPr>
        <w:t>六、一般公共预算财政拨款基本支出决算表</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楷体_GB2312" w:eastAsia="楷体_GB2312" w:hAnsi="微软雅黑" w:cs="宋体" w:hint="eastAsia"/>
          <w:color w:val="333333"/>
          <w:kern w:val="0"/>
          <w:sz w:val="30"/>
          <w:szCs w:val="30"/>
        </w:rPr>
        <w:t>七、一般公共预算财政拨款“三公”经费及机关运行经费支出决算表</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楷体_GB2312" w:eastAsia="楷体_GB2312" w:hAnsi="微软雅黑" w:cs="宋体" w:hint="eastAsia"/>
          <w:color w:val="333333"/>
          <w:kern w:val="0"/>
          <w:sz w:val="30"/>
          <w:szCs w:val="30"/>
        </w:rPr>
        <w:t>八、政府性基金预算财政拨款支出决算表</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楷体_GB2312" w:eastAsia="楷体_GB2312" w:hAnsi="微软雅黑" w:cs="宋体" w:hint="eastAsia"/>
          <w:color w:val="333333"/>
          <w:kern w:val="0"/>
          <w:sz w:val="30"/>
          <w:szCs w:val="30"/>
        </w:rPr>
        <w:t>九、资产负债情况表</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黑体" w:eastAsia="黑体" w:hAnsi="黑体" w:cs="宋体" w:hint="eastAsia"/>
          <w:color w:val="333333"/>
          <w:kern w:val="0"/>
          <w:sz w:val="30"/>
          <w:szCs w:val="30"/>
        </w:rPr>
        <w:t>第三部分</w:t>
      </w:r>
      <w:r w:rsidRPr="00020C01">
        <w:rPr>
          <w:rFonts w:ascii="Calibri" w:eastAsia="黑体" w:hAnsi="Calibri" w:cs="Calibri"/>
          <w:color w:val="333333"/>
          <w:kern w:val="0"/>
          <w:sz w:val="30"/>
          <w:szCs w:val="30"/>
        </w:rPr>
        <w:t> </w:t>
      </w:r>
      <w:r w:rsidRPr="00020C01">
        <w:rPr>
          <w:rFonts w:ascii="黑体" w:eastAsia="黑体" w:hAnsi="黑体" w:cs="宋体" w:hint="eastAsia"/>
          <w:color w:val="333333"/>
          <w:kern w:val="0"/>
          <w:sz w:val="30"/>
          <w:szCs w:val="30"/>
        </w:rPr>
        <w:t>上海市松江区应急管理局2019年度部门决算情况说明</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黑体" w:eastAsia="黑体" w:hAnsi="黑体" w:cs="宋体" w:hint="eastAsia"/>
          <w:color w:val="333333"/>
          <w:kern w:val="0"/>
          <w:sz w:val="30"/>
          <w:szCs w:val="30"/>
        </w:rPr>
        <w:t>第四部分</w:t>
      </w:r>
      <w:r w:rsidRPr="00020C01">
        <w:rPr>
          <w:rFonts w:ascii="Calibri" w:eastAsia="黑体" w:hAnsi="Calibri" w:cs="Calibri"/>
          <w:color w:val="333333"/>
          <w:kern w:val="0"/>
          <w:sz w:val="30"/>
          <w:szCs w:val="30"/>
        </w:rPr>
        <w:t> </w:t>
      </w:r>
      <w:r w:rsidRPr="00020C01">
        <w:rPr>
          <w:rFonts w:ascii="黑体" w:eastAsia="黑体" w:hAnsi="黑体" w:cs="宋体" w:hint="eastAsia"/>
          <w:color w:val="333333"/>
          <w:kern w:val="0"/>
          <w:sz w:val="30"/>
          <w:szCs w:val="30"/>
        </w:rPr>
        <w:t>名词解释</w:t>
      </w:r>
    </w:p>
    <w:p w:rsidR="00020C01" w:rsidRPr="00020C01" w:rsidRDefault="00020C01" w:rsidP="00020C01">
      <w:pPr>
        <w:widowControl/>
        <w:spacing w:line="315" w:lineRule="atLeast"/>
        <w:jc w:val="left"/>
        <w:rPr>
          <w:rFonts w:ascii="微软雅黑" w:eastAsia="微软雅黑" w:hAnsi="微软雅黑" w:cs="宋体"/>
          <w:color w:val="333333"/>
          <w:kern w:val="0"/>
          <w:szCs w:val="21"/>
        </w:rPr>
      </w:pPr>
      <w:r w:rsidRPr="00020C01">
        <w:rPr>
          <w:rFonts w:ascii="Calibri" w:eastAsia="黑体" w:hAnsi="Calibri" w:cs="Calibri"/>
          <w:color w:val="333333"/>
          <w:kern w:val="0"/>
          <w:sz w:val="30"/>
          <w:szCs w:val="30"/>
        </w:rPr>
        <w:t> </w:t>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华文中宋" w:eastAsia="华文中宋" w:hAnsi="华文中宋" w:cs="宋体" w:hint="eastAsia"/>
          <w:b/>
          <w:bCs/>
          <w:color w:val="333333"/>
          <w:kern w:val="0"/>
          <w:sz w:val="36"/>
          <w:szCs w:val="36"/>
        </w:rPr>
        <w:lastRenderedPageBreak/>
        <w:br w:type="textWrapping" w:clear="all"/>
      </w:r>
      <w:r w:rsidRPr="00020C01">
        <w:rPr>
          <w:rFonts w:ascii="黑体" w:eastAsia="黑体" w:hAnsi="黑体" w:cs="宋体" w:hint="eastAsia"/>
          <w:color w:val="333333"/>
          <w:kern w:val="0"/>
          <w:sz w:val="30"/>
          <w:szCs w:val="30"/>
        </w:rPr>
        <w:t>第一部分</w:t>
      </w:r>
      <w:r w:rsidRPr="00020C01">
        <w:rPr>
          <w:rFonts w:ascii="Calibri" w:eastAsia="黑体" w:hAnsi="Calibri" w:cs="Calibri"/>
          <w:color w:val="333333"/>
          <w:kern w:val="0"/>
          <w:sz w:val="30"/>
          <w:szCs w:val="30"/>
        </w:rPr>
        <w:t>    </w:t>
      </w:r>
      <w:r w:rsidRPr="00020C01">
        <w:rPr>
          <w:rFonts w:ascii="黑体" w:eastAsia="黑体" w:hAnsi="黑体" w:cs="宋体" w:hint="eastAsia"/>
          <w:color w:val="333333"/>
          <w:kern w:val="0"/>
          <w:sz w:val="30"/>
          <w:szCs w:val="30"/>
        </w:rPr>
        <w:t>上海市松江区应急管理局概况</w:t>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Calibri" w:eastAsia="黑体" w:hAnsi="Calibri" w:cs="Calibri"/>
          <w:color w:val="333333"/>
          <w:kern w:val="0"/>
          <w:sz w:val="30"/>
          <w:szCs w:val="30"/>
        </w:rPr>
        <w:t> </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一、主要职能</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是主管全区应急管理工作的区政府工作部门，主要行政职责为：贯彻执行应急管理、安全生产的法律、法规、规章和方针、政策。研究起草应急管理、安全生产规范性文件草案，拟定相关政策、规程和标准并监督实施。组织编制应急体系建设、安全生产和综合防灾减灾救灾规划、负责应急管理工作，指导各镇、街道、园区和区级有关部门应对安全生产类、自然灾害类等突发事件和综合防灾减灾救灾工作。负责安全生产综合监督管理和工矿商贸行业安全生产监督管理工作、指导应急预案体系建设，建立完善事故灾难和自然灾害分级应对制度，组织编制、修订松江区总体应急预案和安全生产类、自然灾害类区级专项应急预案。综合协调应急预案衔接工作，审核专项和部门应急预案，组织开展有关区级应急预案演练，推动应急避难设施建设等。</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二、部门决算单位构成</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从预算单位构成看，上海市松江区应急管理局部门决算包括：上海市松江区应急管理局本级决算、上海市松江区安全生产监察大队决算。</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lastRenderedPageBreak/>
        <w:t>纳入上海市松江区应急管理局2019年度部门决算编制范围的单位包括：</w:t>
      </w:r>
    </w:p>
    <w:tbl>
      <w:tblPr>
        <w:tblW w:w="8460" w:type="dxa"/>
        <w:tblInd w:w="108" w:type="dxa"/>
        <w:tblCellMar>
          <w:top w:w="15" w:type="dxa"/>
          <w:left w:w="15" w:type="dxa"/>
          <w:bottom w:w="15" w:type="dxa"/>
          <w:right w:w="15" w:type="dxa"/>
        </w:tblCellMar>
        <w:tblLook w:val="04A0" w:firstRow="1" w:lastRow="0" w:firstColumn="1" w:lastColumn="0" w:noHBand="0" w:noVBand="1"/>
      </w:tblPr>
      <w:tblGrid>
        <w:gridCol w:w="900"/>
        <w:gridCol w:w="5760"/>
        <w:gridCol w:w="1800"/>
      </w:tblGrid>
      <w:tr w:rsidR="00020C01" w:rsidRPr="00020C01" w:rsidTr="00020C01">
        <w:trPr>
          <w:trHeight w:val="450"/>
        </w:trPr>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仿宋_GB2312" w:eastAsia="仿宋_GB2312" w:hAnsi="宋体" w:cs="宋体" w:hint="eastAsia"/>
                <w:kern w:val="0"/>
                <w:sz w:val="30"/>
                <w:szCs w:val="30"/>
              </w:rPr>
              <w:t>序号</w:t>
            </w:r>
          </w:p>
        </w:tc>
        <w:tc>
          <w:tcPr>
            <w:tcW w:w="57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仿宋_GB2312" w:eastAsia="仿宋_GB2312" w:hAnsi="宋体" w:cs="宋体" w:hint="eastAsia"/>
                <w:kern w:val="0"/>
                <w:sz w:val="30"/>
                <w:szCs w:val="30"/>
              </w:rPr>
              <w:t>单位名称</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仿宋_GB2312" w:eastAsia="仿宋_GB2312" w:hAnsi="宋体" w:cs="宋体" w:hint="eastAsia"/>
                <w:kern w:val="0"/>
                <w:sz w:val="30"/>
                <w:szCs w:val="30"/>
              </w:rPr>
              <w:t>备注</w:t>
            </w:r>
          </w:p>
        </w:tc>
      </w:tr>
      <w:tr w:rsidR="00020C01" w:rsidRPr="00020C01" w:rsidTr="00020C01">
        <w:trPr>
          <w:trHeight w:val="450"/>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仿宋_GB2312" w:eastAsia="仿宋_GB2312" w:hAnsi="宋体" w:cs="宋体" w:hint="eastAsia"/>
                <w:kern w:val="0"/>
                <w:sz w:val="30"/>
                <w:szCs w:val="30"/>
              </w:rPr>
              <w:t>1</w:t>
            </w:r>
          </w:p>
        </w:tc>
        <w:tc>
          <w:tcPr>
            <w:tcW w:w="5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仿宋_GB2312" w:eastAsia="仿宋_GB2312" w:hAnsi="宋体" w:cs="宋体" w:hint="eastAsia"/>
                <w:kern w:val="0"/>
                <w:sz w:val="30"/>
                <w:szCs w:val="30"/>
              </w:rPr>
              <w:t>上海市松江区应急管理局（本级）</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仿宋_GB2312" w:eastAsia="仿宋_GB2312" w:hAnsi="宋体" w:cs="宋体" w:hint="eastAsia"/>
                <w:kern w:val="0"/>
                <w:sz w:val="30"/>
                <w:szCs w:val="30"/>
              </w:rPr>
              <w:t> </w:t>
            </w:r>
          </w:p>
        </w:tc>
      </w:tr>
      <w:tr w:rsidR="00020C01" w:rsidRPr="00020C01" w:rsidTr="00020C01">
        <w:trPr>
          <w:trHeight w:val="450"/>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仿宋_GB2312" w:eastAsia="仿宋_GB2312" w:hAnsi="宋体" w:cs="宋体" w:hint="eastAsia"/>
                <w:kern w:val="0"/>
                <w:sz w:val="30"/>
                <w:szCs w:val="30"/>
              </w:rPr>
              <w:t>2</w:t>
            </w:r>
          </w:p>
        </w:tc>
        <w:tc>
          <w:tcPr>
            <w:tcW w:w="5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仿宋_GB2312" w:eastAsia="仿宋_GB2312" w:hAnsi="宋体" w:cs="宋体" w:hint="eastAsia"/>
                <w:kern w:val="0"/>
                <w:sz w:val="30"/>
                <w:szCs w:val="30"/>
              </w:rPr>
              <w:t>上海市松江区安全生产监察大队</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仿宋_GB2312" w:eastAsia="仿宋_GB2312" w:hAnsi="宋体" w:cs="宋体" w:hint="eastAsia"/>
                <w:kern w:val="0"/>
                <w:sz w:val="30"/>
                <w:szCs w:val="30"/>
              </w:rPr>
              <w:t> </w:t>
            </w:r>
          </w:p>
        </w:tc>
      </w:tr>
    </w:tbl>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黑体" w:eastAsia="黑体" w:hAnsi="黑体" w:cs="宋体" w:hint="eastAsia"/>
          <w:b/>
          <w:bCs/>
          <w:color w:val="333333"/>
          <w:kern w:val="0"/>
          <w:sz w:val="32"/>
          <w:szCs w:val="32"/>
        </w:rPr>
        <w:br w:type="textWrapping" w:clear="all"/>
      </w:r>
      <w:r w:rsidRPr="00020C01">
        <w:rPr>
          <w:rFonts w:ascii="黑体" w:eastAsia="黑体" w:hAnsi="黑体" w:cs="宋体" w:hint="eastAsia"/>
          <w:color w:val="333333"/>
          <w:kern w:val="0"/>
          <w:sz w:val="30"/>
          <w:szCs w:val="30"/>
        </w:rPr>
        <w:t>第二部分</w:t>
      </w:r>
      <w:r w:rsidRPr="00020C01">
        <w:rPr>
          <w:rFonts w:ascii="Calibri" w:eastAsia="黑体" w:hAnsi="Calibri" w:cs="Calibri"/>
          <w:color w:val="333333"/>
          <w:kern w:val="0"/>
          <w:sz w:val="30"/>
          <w:szCs w:val="30"/>
        </w:rPr>
        <w:t>    </w:t>
      </w:r>
      <w:r w:rsidRPr="00020C01">
        <w:rPr>
          <w:rFonts w:ascii="黑体" w:eastAsia="黑体" w:hAnsi="黑体" w:cs="宋体" w:hint="eastAsia"/>
          <w:color w:val="333333"/>
          <w:kern w:val="0"/>
          <w:sz w:val="30"/>
          <w:szCs w:val="30"/>
        </w:rPr>
        <w:t>上海市松江区应急管理局2019年度部门决算表</w:t>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2019年度收入支出决算总表</w:t>
      </w:r>
    </w:p>
    <w:p w:rsidR="00020C01" w:rsidRPr="00020C01" w:rsidRDefault="00020C01" w:rsidP="00020C01">
      <w:pPr>
        <w:widowControl/>
        <w:jc w:val="righ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单位：万元</w:t>
      </w:r>
    </w:p>
    <w:tbl>
      <w:tblPr>
        <w:tblW w:w="5000" w:type="pct"/>
        <w:jc w:val="center"/>
        <w:tblCellMar>
          <w:top w:w="15" w:type="dxa"/>
          <w:left w:w="15" w:type="dxa"/>
          <w:bottom w:w="15" w:type="dxa"/>
          <w:right w:w="15" w:type="dxa"/>
        </w:tblCellMar>
        <w:tblLook w:val="04A0" w:firstRow="1" w:lastRow="0" w:firstColumn="1" w:lastColumn="0" w:noHBand="0" w:noVBand="1"/>
      </w:tblPr>
      <w:tblGrid>
        <w:gridCol w:w="2964"/>
        <w:gridCol w:w="1235"/>
        <w:gridCol w:w="2784"/>
        <w:gridCol w:w="1303"/>
      </w:tblGrid>
      <w:tr w:rsidR="00020C01" w:rsidRPr="00020C01" w:rsidTr="005125F2">
        <w:trPr>
          <w:trHeight w:val="324"/>
          <w:jc w:val="center"/>
        </w:trPr>
        <w:tc>
          <w:tcPr>
            <w:tcW w:w="253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收入</w:t>
            </w:r>
          </w:p>
        </w:tc>
        <w:tc>
          <w:tcPr>
            <w:tcW w:w="24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支出</w:t>
            </w:r>
          </w:p>
        </w:tc>
      </w:tr>
      <w:tr w:rsidR="00020C01" w:rsidRPr="00020C01" w:rsidTr="005125F2">
        <w:trPr>
          <w:trHeight w:val="324"/>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项目</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决算数</w:t>
            </w:r>
          </w:p>
        </w:tc>
        <w:tc>
          <w:tcPr>
            <w:tcW w:w="16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项目</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决算数</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一、一般公共预算财政拨款收入</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1618.00</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一、一般公共服务支出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二、政府性基金预算财政拨款收入</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二、外交支出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三、上级补助收入</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三、国防支出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四、事业收入</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四、公共安全支出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五、经营收入</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五、教育支出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六、附属单位上缴收入</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六、科学技术支出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七、其他收入</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2.80</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七、文化旅游体育与传媒支出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八、社会保障和就业支出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128.60</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九、卫生健康支出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47.50</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十、节能环保支出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十一、城乡社区支出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十二、农林水支出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十三、交通运输支出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十四、资源勘探信息等支出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十五、商业服务业等支出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十六、金融支出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lastRenderedPageBreak/>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十七、援助其他地区支出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十八、自然资源海洋气象等支出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十九、住房保障支出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118.82</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二十、粮油物资储备支出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二十一、灾害防治及应急管理支出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1333.24</w:t>
            </w:r>
          </w:p>
        </w:tc>
      </w:tr>
      <w:tr w:rsidR="00020C01" w:rsidRPr="00020C01" w:rsidTr="005125F2">
        <w:trPr>
          <w:trHeight w:val="43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二十二、其他支出</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本年收入合计</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1620.80</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本年支出合计</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1628.16</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用事业基金弥补收支差额</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结余分配</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年初结转和结余</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16.80</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年末结转和结余</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9.44</w:t>
            </w:r>
          </w:p>
        </w:tc>
      </w:tr>
      <w:tr w:rsidR="00020C01" w:rsidRPr="00020C01" w:rsidTr="005125F2">
        <w:trPr>
          <w:trHeight w:val="446"/>
          <w:jc w:val="center"/>
        </w:trPr>
        <w:tc>
          <w:tcPr>
            <w:tcW w:w="17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总计</w:t>
            </w:r>
          </w:p>
        </w:tc>
        <w:tc>
          <w:tcPr>
            <w:tcW w:w="7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1637.60</w:t>
            </w:r>
          </w:p>
        </w:tc>
        <w:tc>
          <w:tcPr>
            <w:tcW w:w="1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总计</w:t>
            </w:r>
          </w:p>
        </w:tc>
        <w:tc>
          <w:tcPr>
            <w:tcW w:w="7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1637.60</w:t>
            </w:r>
          </w:p>
        </w:tc>
      </w:tr>
    </w:tbl>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br w:type="textWrapping" w:clear="all"/>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2019年度收入决算表</w:t>
      </w:r>
    </w:p>
    <w:p w:rsidR="00020C01" w:rsidRPr="00020C01" w:rsidRDefault="00020C01" w:rsidP="00020C01">
      <w:pPr>
        <w:widowControl/>
        <w:ind w:right="360"/>
        <w:jc w:val="righ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单位：万元</w:t>
      </w:r>
    </w:p>
    <w:tbl>
      <w:tblPr>
        <w:tblW w:w="5000" w:type="pct"/>
        <w:tblCellMar>
          <w:top w:w="15" w:type="dxa"/>
          <w:left w:w="15" w:type="dxa"/>
          <w:bottom w:w="15" w:type="dxa"/>
          <w:right w:w="15" w:type="dxa"/>
        </w:tblCellMar>
        <w:tblLook w:val="04A0" w:firstRow="1" w:lastRow="0" w:firstColumn="1" w:lastColumn="0" w:noHBand="0" w:noVBand="1"/>
      </w:tblPr>
      <w:tblGrid>
        <w:gridCol w:w="531"/>
        <w:gridCol w:w="426"/>
        <w:gridCol w:w="426"/>
        <w:gridCol w:w="1404"/>
        <w:gridCol w:w="951"/>
        <w:gridCol w:w="951"/>
        <w:gridCol w:w="740"/>
        <w:gridCol w:w="660"/>
        <w:gridCol w:w="543"/>
        <w:gridCol w:w="539"/>
        <w:gridCol w:w="846"/>
        <w:gridCol w:w="279"/>
      </w:tblGrid>
      <w:tr w:rsidR="00020C01" w:rsidRPr="00020C01" w:rsidTr="005125F2">
        <w:trPr>
          <w:trHeight w:val="450"/>
        </w:trPr>
        <w:tc>
          <w:tcPr>
            <w:tcW w:w="1447"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项目</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本年收入合计</w:t>
            </w:r>
          </w:p>
        </w:tc>
        <w:tc>
          <w:tcPr>
            <w:tcW w:w="5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财政拨款收入</w:t>
            </w:r>
          </w:p>
        </w:tc>
        <w:tc>
          <w:tcPr>
            <w:tcW w:w="5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上级补助收入</w:t>
            </w:r>
          </w:p>
        </w:tc>
        <w:tc>
          <w:tcPr>
            <w:tcW w:w="4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事业收入</w:t>
            </w:r>
          </w:p>
        </w:tc>
        <w:tc>
          <w:tcPr>
            <w:tcW w:w="4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经营收入</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附属单位上缴收入</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其他收入</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675"/>
        </w:trPr>
        <w:tc>
          <w:tcPr>
            <w:tcW w:w="518" w:type="pct"/>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功能分类</w:t>
            </w:r>
            <w:r w:rsidRPr="00020C01">
              <w:rPr>
                <w:rFonts w:ascii="宋体" w:eastAsia="宋体" w:hAnsi="宋体" w:cs="宋体" w:hint="eastAsia"/>
                <w:color w:val="333333"/>
                <w:kern w:val="0"/>
                <w:szCs w:val="21"/>
              </w:rPr>
              <w:br/>
              <w:t>科目编码</w:t>
            </w:r>
          </w:p>
        </w:tc>
        <w:tc>
          <w:tcPr>
            <w:tcW w:w="92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科目名称</w:t>
            </w:r>
          </w:p>
        </w:tc>
        <w:tc>
          <w:tcPr>
            <w:tcW w:w="525"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28"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28"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480"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409"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407"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1"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518" w:type="pct"/>
            <w:gridSpan w:val="3"/>
            <w:vMerge/>
            <w:tcBorders>
              <w:top w:val="nil"/>
              <w:left w:val="single" w:sz="8" w:space="0" w:color="auto"/>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929" w:type="pct"/>
            <w:vMerge/>
            <w:tcBorders>
              <w:top w:val="nil"/>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25"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28"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28"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480"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409"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407"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1"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spacing w:line="300" w:lineRule="atLeast"/>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类</w:t>
            </w:r>
          </w:p>
        </w:tc>
        <w:tc>
          <w:tcPr>
            <w:tcW w:w="1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款</w:t>
            </w:r>
          </w:p>
        </w:tc>
        <w:tc>
          <w:tcPr>
            <w:tcW w:w="15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项</w:t>
            </w:r>
          </w:p>
        </w:tc>
        <w:tc>
          <w:tcPr>
            <w:tcW w:w="92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合计</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1620.80</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1618.00</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2.80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社会保障和就业支出</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128.83</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128.83</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行政事业单位离退休</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128.83</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128.83</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9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归口管理的行政单位离退休</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0.57</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0.57</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9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事业单位离退休</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0.11</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0.11</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lastRenderedPageBreak/>
              <w:t>208</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05　</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05　</w:t>
            </w:r>
          </w:p>
        </w:tc>
        <w:tc>
          <w:tcPr>
            <w:tcW w:w="9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机关事业单位基本养老保险缴费支出</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88.06</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88.06</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05　</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9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机关事业单位职业年金缴费支出</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40.09</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40.09</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210</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卫生健康支出</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47.61</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47.61</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210</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 xml:space="preserve">11　</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行政事业单位医疗</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47.61</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47.61</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210</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11</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9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行政单位医疗</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14.42</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14.42</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210</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11</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9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事业单位医疗</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33.19</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33.19</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住房保障支出</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118.82</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116.02</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2.80 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住房改革支出</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118.82</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116.02</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2.80 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住房公积金</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70.52</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70.52</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03</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购房补贴</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48.30</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45.50</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xml:space="preserve">2.80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灾害防治及应急管理支出</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1325.54</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1325.54</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应急管理事务</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1318.35</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1318.35</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行政运行</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364.10</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364.10</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安全监管</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361.88</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361.88</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50</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事业运行</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592.37</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592.37</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lastRenderedPageBreak/>
              <w:t>224</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地震事务</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2.78</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2.78</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04</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地震监测</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2.78</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2.78</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自然灾害防治</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4.41</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4.41</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r w:rsidR="00020C01" w:rsidRPr="00020C01" w:rsidTr="005125F2">
        <w:trPr>
          <w:trHeight w:val="450"/>
        </w:trPr>
        <w:tc>
          <w:tcPr>
            <w:tcW w:w="201"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159"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99</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其他自然灾害防治支出</w:t>
            </w:r>
          </w:p>
        </w:tc>
        <w:tc>
          <w:tcPr>
            <w:tcW w:w="5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4.41</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4.41</w:t>
            </w:r>
          </w:p>
        </w:tc>
        <w:tc>
          <w:tcPr>
            <w:tcW w:w="52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8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9"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0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58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righ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c>
          <w:tcPr>
            <w:tcW w:w="94" w:type="pct"/>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微软雅黑" w:eastAsia="微软雅黑" w:hAnsi="微软雅黑" w:cs="宋体" w:hint="eastAsia"/>
                <w:color w:val="333333"/>
                <w:kern w:val="0"/>
                <w:szCs w:val="21"/>
              </w:rPr>
              <w:t> </w:t>
            </w:r>
          </w:p>
        </w:tc>
      </w:tr>
    </w:tbl>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br w:type="textWrapping" w:clear="all"/>
        <w:t>2019年度支出决算表</w:t>
      </w:r>
    </w:p>
    <w:p w:rsidR="00020C01" w:rsidRPr="00020C01" w:rsidRDefault="00020C01" w:rsidP="00020C01">
      <w:pPr>
        <w:widowControl/>
        <w:ind w:right="360"/>
        <w:jc w:val="righ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单位：万元</w:t>
      </w:r>
    </w:p>
    <w:tbl>
      <w:tblPr>
        <w:tblW w:w="5000" w:type="pct"/>
        <w:tblCellMar>
          <w:top w:w="15" w:type="dxa"/>
          <w:left w:w="15" w:type="dxa"/>
          <w:bottom w:w="15" w:type="dxa"/>
          <w:right w:w="15" w:type="dxa"/>
        </w:tblCellMar>
        <w:tblLook w:val="04A0" w:firstRow="1" w:lastRow="0" w:firstColumn="1" w:lastColumn="0" w:noHBand="0" w:noVBand="1"/>
      </w:tblPr>
      <w:tblGrid>
        <w:gridCol w:w="531"/>
        <w:gridCol w:w="426"/>
        <w:gridCol w:w="426"/>
        <w:gridCol w:w="1473"/>
        <w:gridCol w:w="951"/>
        <w:gridCol w:w="951"/>
        <w:gridCol w:w="846"/>
        <w:gridCol w:w="872"/>
        <w:gridCol w:w="905"/>
        <w:gridCol w:w="905"/>
      </w:tblGrid>
      <w:tr w:rsidR="00020C01" w:rsidRPr="00020C01" w:rsidTr="005125F2">
        <w:trPr>
          <w:trHeight w:val="450"/>
        </w:trPr>
        <w:tc>
          <w:tcPr>
            <w:tcW w:w="1494"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项目</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本年支出合计</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基本支出</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项目支出</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上缴上级支出</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经营支出</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对附属单位补助支出</w:t>
            </w:r>
          </w:p>
        </w:tc>
      </w:tr>
      <w:tr w:rsidR="00020C01" w:rsidRPr="00020C01" w:rsidTr="005125F2">
        <w:trPr>
          <w:trHeight w:val="702"/>
        </w:trPr>
        <w:tc>
          <w:tcPr>
            <w:tcW w:w="567" w:type="pct"/>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功能分类</w:t>
            </w:r>
            <w:r w:rsidRPr="00020C01">
              <w:rPr>
                <w:rFonts w:ascii="宋体" w:eastAsia="宋体" w:hAnsi="宋体" w:cs="宋体" w:hint="eastAsia"/>
                <w:kern w:val="0"/>
                <w:szCs w:val="21"/>
              </w:rPr>
              <w:br/>
              <w:t>科目编码</w:t>
            </w:r>
          </w:p>
        </w:tc>
        <w:tc>
          <w:tcPr>
            <w:tcW w:w="92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科目名称</w:t>
            </w: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5125F2">
        <w:trPr>
          <w:trHeight w:val="702"/>
        </w:trPr>
        <w:tc>
          <w:tcPr>
            <w:tcW w:w="567" w:type="pct"/>
            <w:gridSpan w:val="3"/>
            <w:vMerge/>
            <w:tcBorders>
              <w:top w:val="nil"/>
              <w:left w:val="single" w:sz="8" w:space="0" w:color="auto"/>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927" w:type="pct"/>
            <w:vMerge/>
            <w:tcBorders>
              <w:top w:val="nil"/>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584"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类</w:t>
            </w:r>
          </w:p>
        </w:tc>
        <w:tc>
          <w:tcPr>
            <w:tcW w:w="1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款</w:t>
            </w:r>
          </w:p>
        </w:tc>
        <w:tc>
          <w:tcPr>
            <w:tcW w:w="1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项</w:t>
            </w:r>
          </w:p>
        </w:tc>
        <w:tc>
          <w:tcPr>
            <w:tcW w:w="92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合计</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1628.16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1259.09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369.07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社会保障和就业支出</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128.60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128.60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行政事业单位离退休</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128.60</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128.60</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9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归口管理的行政单位离退休</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0.57</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0.57</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9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事业单位离退休</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0.11</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0.11</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05　</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05　</w:t>
            </w:r>
          </w:p>
        </w:tc>
        <w:tc>
          <w:tcPr>
            <w:tcW w:w="9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机关事业单位基本养老保险缴费支出</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87.84</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87.84</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05　</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9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机关事业单位职业年金缴费支出</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40.09</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40.09</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lastRenderedPageBreak/>
              <w:t>210</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9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卫生健康支出</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47.50</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47.50</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210</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 xml:space="preserve">11　</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行政事业单位医疗</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47.50</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47.50</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210</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11</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9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行政单位医疗</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14.42</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14.42</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210</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11</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9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事业单位医疗</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33.08</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33.08</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住房保障支出</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118.82</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118.82</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住房改革支出</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118.82</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118.82</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住房公积金</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70.52</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70.52</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03</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购房补贴</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48.30</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48.30</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灾害防治及应急管理支出</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1333.24</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964.17</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369.07</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应急管理事务</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1326.05</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964.17</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361.88</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行政运行</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367.74</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367.74</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安全监管</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361.88</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361.88</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50</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事业运行</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596.43</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596.43</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地震事务</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2.78</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2.78</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04</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地震监测</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2.78</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2.78</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自然灾害防治</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4.41</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4.41</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50"/>
        </w:trPr>
        <w:tc>
          <w:tcPr>
            <w:tcW w:w="218"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lastRenderedPageBreak/>
              <w:t>224</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174" w:type="pct"/>
            <w:tcBorders>
              <w:top w:val="nil"/>
              <w:left w:val="nil"/>
              <w:bottom w:val="single" w:sz="8" w:space="0" w:color="auto"/>
              <w:right w:val="single" w:sz="8" w:space="0" w:color="auto"/>
            </w:tcBorders>
            <w:noWrap/>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99</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其他自然灾害防治支出</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4.41</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4.41</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bl>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br w:type="textWrapping" w:clear="all"/>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2019年度财政拨款收入支出决算总表</w:t>
      </w:r>
    </w:p>
    <w:p w:rsidR="00020C01" w:rsidRPr="00020C01" w:rsidRDefault="00020C01" w:rsidP="00020C01">
      <w:pPr>
        <w:widowControl/>
        <w:ind w:right="360"/>
        <w:jc w:val="righ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单位：万元</w:t>
      </w:r>
    </w:p>
    <w:tbl>
      <w:tblPr>
        <w:tblW w:w="5000" w:type="pct"/>
        <w:tblCellMar>
          <w:top w:w="15" w:type="dxa"/>
          <w:left w:w="15" w:type="dxa"/>
          <w:bottom w:w="15" w:type="dxa"/>
          <w:right w:w="15" w:type="dxa"/>
        </w:tblCellMar>
        <w:tblLook w:val="04A0" w:firstRow="1" w:lastRow="0" w:firstColumn="1" w:lastColumn="0" w:noHBand="0" w:noVBand="1"/>
      </w:tblPr>
      <w:tblGrid>
        <w:gridCol w:w="2518"/>
        <w:gridCol w:w="835"/>
        <w:gridCol w:w="2870"/>
        <w:gridCol w:w="835"/>
        <w:gridCol w:w="835"/>
        <w:gridCol w:w="393"/>
      </w:tblGrid>
      <w:tr w:rsidR="00020C01" w:rsidRPr="00020C01" w:rsidTr="005125F2">
        <w:trPr>
          <w:trHeight w:val="402"/>
        </w:trPr>
        <w:tc>
          <w:tcPr>
            <w:tcW w:w="2081" w:type="pct"/>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收入</w:t>
            </w:r>
          </w:p>
        </w:tc>
        <w:tc>
          <w:tcPr>
            <w:tcW w:w="2919" w:type="pct"/>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支出</w:t>
            </w:r>
          </w:p>
        </w:tc>
      </w:tr>
      <w:tr w:rsidR="00020C01" w:rsidRPr="00020C01" w:rsidTr="005125F2">
        <w:trPr>
          <w:trHeight w:val="630"/>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项目</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决算数</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项目</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合计</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一般公共预算财政拨款</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政府性基金预算财政拨款</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一、一般公共预算财政拨款</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1618.00</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一、一般公共服务支出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二、政府性基金预算财政拨款</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二、外交支出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三、国防支出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四、公共安全支出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五、教育支出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六、科学技术支出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七、文化旅游体育与传媒支出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八、社会保障和就业支出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128.60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128.60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九、卫生健康支出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47.50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47.50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十、节能环保支出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十一、城乡社区支出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十二、农林水支出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十三、交通运输支出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十四、资源勘探信息等支出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lastRenderedPageBreak/>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十五、商业服务业等支出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十六、金融支出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十七、援助其他地区支出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十八、自然资源海洋气象等支出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十九、住房保障支出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116.02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116.02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二十、粮油物资储备支出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二十一、灾害防治及应急管理支出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1333.24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1333.24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二十二、其他支出</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本年收入合计</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1618.00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本年支出合计</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1625.36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1625.36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年初财政拨款结转和结余</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16.80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年末财政拨款结转和结余</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9.44</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9.44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一、一般公共预算财政拨款</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16.80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二、政府性基金预算财政拨款</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r w:rsidR="00020C01" w:rsidRPr="00020C01" w:rsidTr="005125F2">
        <w:trPr>
          <w:trHeight w:val="402"/>
        </w:trPr>
        <w:tc>
          <w:tcPr>
            <w:tcW w:w="139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总计</w:t>
            </w:r>
          </w:p>
        </w:tc>
        <w:tc>
          <w:tcPr>
            <w:tcW w:w="68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xml:space="preserve">1634.80　</w:t>
            </w:r>
          </w:p>
        </w:tc>
        <w:tc>
          <w:tcPr>
            <w:tcW w:w="112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总计</w:t>
            </w:r>
          </w:p>
        </w:tc>
        <w:tc>
          <w:tcPr>
            <w:tcW w:w="62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1634.80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1634.80　</w:t>
            </w:r>
          </w:p>
        </w:tc>
        <w:tc>
          <w:tcPr>
            <w:tcW w:w="5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xml:space="preserve">　</w:t>
            </w:r>
          </w:p>
        </w:tc>
      </w:tr>
    </w:tbl>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br w:type="textWrapping" w:clear="all"/>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2019年度一般公共预算财政拨款支出决算表</w:t>
      </w:r>
    </w:p>
    <w:p w:rsidR="00020C01" w:rsidRPr="00020C01" w:rsidRDefault="00020C01" w:rsidP="00020C01">
      <w:pPr>
        <w:widowControl/>
        <w:ind w:right="360"/>
        <w:jc w:val="righ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单位：万元</w:t>
      </w:r>
    </w:p>
    <w:tbl>
      <w:tblPr>
        <w:tblW w:w="0" w:type="auto"/>
        <w:jc w:val="center"/>
        <w:tblCellMar>
          <w:top w:w="15" w:type="dxa"/>
          <w:left w:w="15" w:type="dxa"/>
          <w:bottom w:w="15" w:type="dxa"/>
          <w:right w:w="15" w:type="dxa"/>
        </w:tblCellMar>
        <w:tblLook w:val="04A0" w:firstRow="1" w:lastRow="0" w:firstColumn="1" w:lastColumn="0" w:noHBand="0" w:noVBand="1"/>
      </w:tblPr>
      <w:tblGrid>
        <w:gridCol w:w="576"/>
        <w:gridCol w:w="443"/>
        <w:gridCol w:w="443"/>
        <w:gridCol w:w="1838"/>
        <w:gridCol w:w="1278"/>
        <w:gridCol w:w="1650"/>
        <w:gridCol w:w="1595"/>
      </w:tblGrid>
      <w:tr w:rsidR="00020C01" w:rsidRPr="00020C01" w:rsidTr="00020C01">
        <w:trPr>
          <w:trHeight w:val="480"/>
          <w:jc w:val="center"/>
        </w:trPr>
        <w:tc>
          <w:tcPr>
            <w:tcW w:w="330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项目</w:t>
            </w:r>
          </w:p>
        </w:tc>
        <w:tc>
          <w:tcPr>
            <w:tcW w:w="1278"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合计</w:t>
            </w:r>
          </w:p>
        </w:tc>
        <w:tc>
          <w:tcPr>
            <w:tcW w:w="1650"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基本支出</w:t>
            </w:r>
          </w:p>
        </w:tc>
        <w:tc>
          <w:tcPr>
            <w:tcW w:w="1595"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项目支出</w:t>
            </w:r>
          </w:p>
        </w:tc>
      </w:tr>
      <w:tr w:rsidR="00020C01" w:rsidRPr="00020C01" w:rsidTr="00020C01">
        <w:trPr>
          <w:trHeight w:val="480"/>
          <w:jc w:val="center"/>
        </w:trPr>
        <w:tc>
          <w:tcPr>
            <w:tcW w:w="146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功能分类</w:t>
            </w:r>
          </w:p>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科目编码</w:t>
            </w:r>
          </w:p>
        </w:tc>
        <w:tc>
          <w:tcPr>
            <w:tcW w:w="183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科目名称</w:t>
            </w: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类</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款</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w:t>
            </w:r>
          </w:p>
        </w:tc>
        <w:tc>
          <w:tcPr>
            <w:tcW w:w="0" w:type="auto"/>
            <w:vMerge/>
            <w:tcBorders>
              <w:top w:val="nil"/>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社会保障和就业支出</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128.60</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128.60</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行政事业单位离退休</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128.60</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128.60</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归口管理的行政单位离退休</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0.57</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0.57</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lastRenderedPageBreak/>
              <w:t>208</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事业单位离退休</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0.11</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0.11</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05　</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05　</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机关事业单位基本养老保险缴费支出</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87.84</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87.84</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208</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05　</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机关事业单位职业年金缴费支出</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40.09</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40.09</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210</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xml:space="preserve">　</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卫生健康支出</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47.50</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47.50</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210</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 xml:space="preserve">11　</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行政事业单位医疗</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47.50</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47.50</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210</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11</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行政单位医疗</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14.42</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14.42</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210</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11</w:t>
            </w:r>
          </w:p>
        </w:tc>
        <w:tc>
          <w:tcPr>
            <w:tcW w:w="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事业单位医疗</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33.08</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33.08</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住房保障支出</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116.02</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116.02</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住房改革支出</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116.02</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116.02</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住房公积金</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70.52</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70.52</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221</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02</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03</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购房补贴</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45.50</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45.50</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灾害防治及应急管理支出</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1333.24</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964.17</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369.07</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应急管理事务</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1326.05</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964.17</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361.88</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行政运行</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367.74</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367.74</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安全监管</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361.88</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361.88</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01</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50</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事业运行</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596.43</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596.43</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地震事务</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2.78</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2.78</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05</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04</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地震监测</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2.78</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2.78</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left"/>
              <w:rPr>
                <w:rFonts w:ascii="宋体" w:eastAsia="宋体" w:hAnsi="宋体" w:cs="宋体"/>
                <w:kern w:val="0"/>
                <w:sz w:val="24"/>
                <w:szCs w:val="24"/>
              </w:rPr>
            </w:pPr>
            <w:r w:rsidRPr="00020C01">
              <w:rPr>
                <w:rFonts w:ascii="宋体" w:eastAsia="宋体" w:hAnsi="宋体" w:cs="宋体" w:hint="eastAsia"/>
                <w:color w:val="333333"/>
                <w:kern w:val="0"/>
                <w:szCs w:val="21"/>
              </w:rPr>
              <w:t>自然灾害防治</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4.41</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4.41</w:t>
            </w:r>
          </w:p>
        </w:tc>
      </w:tr>
      <w:tr w:rsidR="00020C01" w:rsidRPr="00020C01" w:rsidTr="00020C01">
        <w:trPr>
          <w:trHeight w:val="480"/>
          <w:jc w:val="center"/>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224</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06</w:t>
            </w:r>
          </w:p>
        </w:tc>
        <w:tc>
          <w:tcPr>
            <w:tcW w:w="443"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jc w:val="center"/>
              <w:rPr>
                <w:rFonts w:ascii="宋体" w:eastAsia="宋体" w:hAnsi="宋体" w:cs="宋体"/>
                <w:kern w:val="0"/>
                <w:sz w:val="24"/>
                <w:szCs w:val="24"/>
              </w:rPr>
            </w:pPr>
            <w:r w:rsidRPr="00020C01">
              <w:rPr>
                <w:rFonts w:ascii="宋体" w:eastAsia="宋体" w:hAnsi="宋体" w:cs="宋体" w:hint="eastAsia"/>
                <w:color w:val="333333"/>
                <w:kern w:val="0"/>
                <w:szCs w:val="21"/>
              </w:rPr>
              <w:t>99</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020C01" w:rsidRPr="00020C01" w:rsidRDefault="00020C01" w:rsidP="00020C01">
            <w:pPr>
              <w:widowControl/>
              <w:spacing w:before="100" w:after="100" w:line="300" w:lineRule="atLeast"/>
              <w:ind w:firstLine="210"/>
              <w:jc w:val="left"/>
              <w:rPr>
                <w:rFonts w:ascii="宋体" w:eastAsia="宋体" w:hAnsi="宋体" w:cs="宋体"/>
                <w:kern w:val="0"/>
                <w:sz w:val="24"/>
                <w:szCs w:val="24"/>
              </w:rPr>
            </w:pPr>
            <w:r w:rsidRPr="00020C01">
              <w:rPr>
                <w:rFonts w:ascii="宋体" w:eastAsia="宋体" w:hAnsi="宋体" w:cs="宋体" w:hint="eastAsia"/>
                <w:color w:val="333333"/>
                <w:kern w:val="0"/>
                <w:szCs w:val="21"/>
              </w:rPr>
              <w:t> 其他自然灾害防治支出</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4.41</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4.41</w:t>
            </w:r>
          </w:p>
        </w:tc>
      </w:tr>
      <w:tr w:rsidR="00020C01" w:rsidRPr="00020C01" w:rsidTr="00020C01">
        <w:trPr>
          <w:trHeight w:val="480"/>
          <w:jc w:val="center"/>
        </w:trPr>
        <w:tc>
          <w:tcPr>
            <w:tcW w:w="3300"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合计</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1625.36</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1256.29</w:t>
            </w:r>
          </w:p>
        </w:tc>
        <w:tc>
          <w:tcPr>
            <w:tcW w:w="1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369.07</w:t>
            </w:r>
          </w:p>
        </w:tc>
      </w:tr>
    </w:tbl>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lastRenderedPageBreak/>
        <w:br w:type="textWrapping" w:clear="all"/>
        <w:t>2019年度一般公共预算财政拨款基本支出决算表</w:t>
      </w:r>
    </w:p>
    <w:p w:rsidR="00020C01" w:rsidRPr="00020C01" w:rsidRDefault="00020C01" w:rsidP="00020C01">
      <w:pPr>
        <w:widowControl/>
        <w:jc w:val="righ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单位：万元</w:t>
      </w:r>
    </w:p>
    <w:tbl>
      <w:tblPr>
        <w:tblW w:w="8463" w:type="dxa"/>
        <w:jc w:val="center"/>
        <w:tblCellMar>
          <w:top w:w="15" w:type="dxa"/>
          <w:left w:w="15" w:type="dxa"/>
          <w:bottom w:w="15" w:type="dxa"/>
          <w:right w:w="15" w:type="dxa"/>
        </w:tblCellMar>
        <w:tblLook w:val="04A0" w:firstRow="1" w:lastRow="0" w:firstColumn="1" w:lastColumn="0" w:noHBand="0" w:noVBand="1"/>
      </w:tblPr>
      <w:tblGrid>
        <w:gridCol w:w="605"/>
        <w:gridCol w:w="604"/>
        <w:gridCol w:w="3403"/>
        <w:gridCol w:w="1082"/>
        <w:gridCol w:w="1353"/>
        <w:gridCol w:w="1416"/>
      </w:tblGrid>
      <w:tr w:rsidR="00020C01" w:rsidRPr="00020C01" w:rsidTr="00020C01">
        <w:trPr>
          <w:trHeight w:val="285"/>
          <w:jc w:val="center"/>
        </w:trPr>
        <w:tc>
          <w:tcPr>
            <w:tcW w:w="461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项目</w:t>
            </w:r>
          </w:p>
        </w:tc>
        <w:tc>
          <w:tcPr>
            <w:tcW w:w="10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合计</w:t>
            </w:r>
          </w:p>
        </w:tc>
        <w:tc>
          <w:tcPr>
            <w:tcW w:w="135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人员经费</w:t>
            </w:r>
          </w:p>
        </w:tc>
        <w:tc>
          <w:tcPr>
            <w:tcW w:w="14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公用经费</w:t>
            </w:r>
          </w:p>
        </w:tc>
      </w:tr>
      <w:tr w:rsidR="00020C01" w:rsidRPr="00020C01" w:rsidTr="00020C01">
        <w:trPr>
          <w:trHeight w:val="628"/>
          <w:jc w:val="center"/>
        </w:trPr>
        <w:tc>
          <w:tcPr>
            <w:tcW w:w="12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经济分类</w:t>
            </w:r>
          </w:p>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科目编码</w:t>
            </w:r>
          </w:p>
        </w:tc>
        <w:tc>
          <w:tcPr>
            <w:tcW w:w="34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科目名称</w:t>
            </w:r>
          </w:p>
        </w:tc>
        <w:tc>
          <w:tcPr>
            <w:tcW w:w="0" w:type="auto"/>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类</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款</w:t>
            </w:r>
          </w:p>
        </w:tc>
        <w:tc>
          <w:tcPr>
            <w:tcW w:w="0" w:type="auto"/>
            <w:vMerge/>
            <w:tcBorders>
              <w:top w:val="nil"/>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工资福利支出</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1193.42</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1193.42</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01</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基本工资</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155.82</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155.82</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02</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津贴补贴</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237.52</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237.52</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03</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奖金</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98.03</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98.03</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06</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伙食补助费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40.24</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40.24</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07</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绩效工资</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359.41</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359.41</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08</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ind w:firstLine="210"/>
              <w:jc w:val="left"/>
              <w:rPr>
                <w:rFonts w:ascii="宋体" w:eastAsia="宋体" w:hAnsi="宋体" w:cs="宋体"/>
                <w:kern w:val="0"/>
                <w:sz w:val="24"/>
                <w:szCs w:val="24"/>
              </w:rPr>
            </w:pPr>
            <w:r w:rsidRPr="00020C01">
              <w:rPr>
                <w:rFonts w:ascii="宋体" w:eastAsia="宋体" w:hAnsi="宋体" w:cs="宋体" w:hint="eastAsia"/>
                <w:kern w:val="0"/>
                <w:szCs w:val="21"/>
              </w:rPr>
              <w:t>机关事业单位基本养老保险缴费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87.83</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87.83</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09</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ind w:firstLine="210"/>
              <w:jc w:val="left"/>
              <w:rPr>
                <w:rFonts w:ascii="宋体" w:eastAsia="宋体" w:hAnsi="宋体" w:cs="宋体"/>
                <w:kern w:val="0"/>
                <w:sz w:val="24"/>
                <w:szCs w:val="24"/>
              </w:rPr>
            </w:pPr>
            <w:r w:rsidRPr="00020C01">
              <w:rPr>
                <w:rFonts w:ascii="宋体" w:eastAsia="宋体" w:hAnsi="宋体" w:cs="宋体" w:hint="eastAsia"/>
                <w:kern w:val="0"/>
                <w:szCs w:val="21"/>
              </w:rPr>
              <w:t>职业年金缴费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40.09</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40.09</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10</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ind w:firstLine="210"/>
              <w:jc w:val="left"/>
              <w:rPr>
                <w:rFonts w:ascii="宋体" w:eastAsia="宋体" w:hAnsi="宋体" w:cs="宋体"/>
                <w:kern w:val="0"/>
                <w:sz w:val="24"/>
                <w:szCs w:val="24"/>
              </w:rPr>
            </w:pPr>
            <w:r w:rsidRPr="00020C01">
              <w:rPr>
                <w:rFonts w:ascii="宋体" w:eastAsia="宋体" w:hAnsi="宋体" w:cs="宋体" w:hint="eastAsia"/>
                <w:kern w:val="0"/>
                <w:szCs w:val="21"/>
              </w:rPr>
              <w:t>职工基本医疗保险缴费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47.50</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47.50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11</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ind w:firstLine="210"/>
              <w:jc w:val="left"/>
              <w:rPr>
                <w:rFonts w:ascii="宋体" w:eastAsia="宋体" w:hAnsi="宋体" w:cs="宋体"/>
                <w:kern w:val="0"/>
                <w:sz w:val="24"/>
                <w:szCs w:val="24"/>
              </w:rPr>
            </w:pPr>
            <w:r w:rsidRPr="00020C01">
              <w:rPr>
                <w:rFonts w:ascii="宋体" w:eastAsia="宋体" w:hAnsi="宋体" w:cs="宋体" w:hint="eastAsia"/>
                <w:kern w:val="0"/>
                <w:szCs w:val="21"/>
              </w:rPr>
              <w:t>公务员医疗补助缴费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12</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ind w:firstLine="210"/>
              <w:jc w:val="left"/>
              <w:rPr>
                <w:rFonts w:ascii="宋体" w:eastAsia="宋体" w:hAnsi="宋体" w:cs="宋体"/>
                <w:kern w:val="0"/>
                <w:sz w:val="24"/>
                <w:szCs w:val="24"/>
              </w:rPr>
            </w:pPr>
            <w:r w:rsidRPr="00020C01">
              <w:rPr>
                <w:rFonts w:ascii="宋体" w:eastAsia="宋体" w:hAnsi="宋体" w:cs="宋体" w:hint="eastAsia"/>
                <w:kern w:val="0"/>
                <w:szCs w:val="21"/>
              </w:rPr>
              <w:t>其他社会保障缴费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25.52</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25.52</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13</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ind w:firstLine="210"/>
              <w:jc w:val="left"/>
              <w:rPr>
                <w:rFonts w:ascii="宋体" w:eastAsia="宋体" w:hAnsi="宋体" w:cs="宋体"/>
                <w:kern w:val="0"/>
                <w:sz w:val="24"/>
                <w:szCs w:val="24"/>
              </w:rPr>
            </w:pPr>
            <w:r w:rsidRPr="00020C01">
              <w:rPr>
                <w:rFonts w:ascii="宋体" w:eastAsia="宋体" w:hAnsi="宋体" w:cs="宋体" w:hint="eastAsia"/>
                <w:kern w:val="0"/>
                <w:szCs w:val="21"/>
              </w:rPr>
              <w:t>住房公积金</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70.52</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70.52</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14</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ind w:firstLine="210"/>
              <w:jc w:val="left"/>
              <w:rPr>
                <w:rFonts w:ascii="宋体" w:eastAsia="宋体" w:hAnsi="宋体" w:cs="宋体"/>
                <w:kern w:val="0"/>
                <w:sz w:val="24"/>
                <w:szCs w:val="24"/>
              </w:rPr>
            </w:pPr>
            <w:r w:rsidRPr="00020C01">
              <w:rPr>
                <w:rFonts w:ascii="宋体" w:eastAsia="宋体" w:hAnsi="宋体" w:cs="宋体" w:hint="eastAsia"/>
                <w:kern w:val="0"/>
                <w:szCs w:val="21"/>
              </w:rPr>
              <w:t>医疗费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99</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其他工资福利支出</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30.94</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30.94</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商品和服务支出</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49.31</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49.31</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01</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办公费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19.07</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19.07</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02</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印刷费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0.07</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0.07</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03</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咨询费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04</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手续费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05</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水费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06</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电费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07</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邮电费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0.16</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0.16</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08</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取暖费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09</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物业管理费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11</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差旅费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1.51</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1.51</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12</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因公出国（境）费用</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13</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维修（护）费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2.19</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2.19</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14</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租赁费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15</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会议费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16</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培训费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0.40</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0.40</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17</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公务接待费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0.10</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0.10</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18</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专用材料费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24</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被装购置费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25</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专用燃料费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26</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劳务费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0.10</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0.10</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lastRenderedPageBreak/>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27</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委托业务费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1.93</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1.93</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28</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工会经费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10.64</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10.64</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29</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福利费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4.99</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4.99</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31</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公务用车运行维护费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6.33</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6.33</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39</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其他交通费用</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0.59</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0.59</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40</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税金及附加费用</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302</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99</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其他商品和服务支出</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1.23</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1.23</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对个人和家庭的补助</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1.12</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1.12</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01</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离休费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02</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退休费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03</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退职（役）费</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04</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抚恤金</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05</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生活补助</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07</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医疗费补助</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08</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助学金</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09</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奖励金</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0.62</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0.62</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10</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ind w:firstLine="210"/>
              <w:jc w:val="left"/>
              <w:rPr>
                <w:rFonts w:ascii="宋体" w:eastAsia="宋体" w:hAnsi="宋体" w:cs="宋体"/>
                <w:kern w:val="0"/>
                <w:sz w:val="24"/>
                <w:szCs w:val="24"/>
              </w:rPr>
            </w:pPr>
            <w:r w:rsidRPr="00020C01">
              <w:rPr>
                <w:rFonts w:ascii="宋体" w:eastAsia="宋体" w:hAnsi="宋体" w:cs="宋体" w:hint="eastAsia"/>
                <w:kern w:val="0"/>
                <w:szCs w:val="21"/>
              </w:rPr>
              <w:t>个人农业生产补贴</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303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99</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其他对个人和家庭的补助</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0.50</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0.50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310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资本性支出</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12.44</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12.44</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310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02</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办公设备购置</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12.44</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12.44</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310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03</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专用设备购置</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310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07</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信息网络及软件购置更新</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310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13</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公务用车购置</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310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19</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其他交通工具购置</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310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21</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文物和陈列品购置</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310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22</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无形资产购置</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310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99</w:t>
            </w:r>
          </w:p>
        </w:tc>
        <w:tc>
          <w:tcPr>
            <w:tcW w:w="3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其他资本性支出</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285"/>
          <w:jc w:val="center"/>
        </w:trPr>
        <w:tc>
          <w:tcPr>
            <w:tcW w:w="461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合计</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1256.29</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1194.54</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61.75</w:t>
            </w:r>
          </w:p>
        </w:tc>
      </w:tr>
    </w:tbl>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br w:type="textWrapping" w:clear="all"/>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2019年度一般公共预算财政拨款“三公”经费及机关运行经费支出决算表</w:t>
      </w:r>
    </w:p>
    <w:p w:rsidR="00020C01" w:rsidRPr="00020C01" w:rsidRDefault="00020C01" w:rsidP="00020C01">
      <w:pPr>
        <w:widowControl/>
        <w:ind w:right="360"/>
        <w:jc w:val="righ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单位：万元</w:t>
      </w:r>
    </w:p>
    <w:tbl>
      <w:tblPr>
        <w:tblW w:w="5000" w:type="pct"/>
        <w:jc w:val="center"/>
        <w:tblCellMar>
          <w:top w:w="15" w:type="dxa"/>
          <w:left w:w="15" w:type="dxa"/>
          <w:bottom w:w="15" w:type="dxa"/>
          <w:right w:w="15" w:type="dxa"/>
        </w:tblCellMar>
        <w:tblLook w:val="04A0" w:firstRow="1" w:lastRow="0" w:firstColumn="1" w:lastColumn="0" w:noHBand="0" w:noVBand="1"/>
      </w:tblPr>
      <w:tblGrid>
        <w:gridCol w:w="636"/>
        <w:gridCol w:w="636"/>
        <w:gridCol w:w="602"/>
        <w:gridCol w:w="602"/>
        <w:gridCol w:w="636"/>
        <w:gridCol w:w="636"/>
        <w:gridCol w:w="602"/>
        <w:gridCol w:w="603"/>
        <w:gridCol w:w="636"/>
        <w:gridCol w:w="636"/>
        <w:gridCol w:w="636"/>
        <w:gridCol w:w="636"/>
        <w:gridCol w:w="789"/>
      </w:tblGrid>
      <w:tr w:rsidR="00020C01" w:rsidRPr="00020C01" w:rsidTr="005125F2">
        <w:trPr>
          <w:trHeight w:val="285"/>
          <w:jc w:val="center"/>
        </w:trPr>
        <w:tc>
          <w:tcPr>
            <w:tcW w:w="4509" w:type="pct"/>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一般公共预算财政拨款“三公”经费</w:t>
            </w:r>
          </w:p>
        </w:tc>
        <w:tc>
          <w:tcPr>
            <w:tcW w:w="4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机关运行</w:t>
            </w:r>
          </w:p>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经费决算数</w:t>
            </w:r>
          </w:p>
        </w:tc>
      </w:tr>
      <w:tr w:rsidR="00020C01" w:rsidRPr="00020C01" w:rsidTr="005125F2">
        <w:trPr>
          <w:trHeight w:val="285"/>
          <w:jc w:val="center"/>
        </w:trPr>
        <w:tc>
          <w:tcPr>
            <w:tcW w:w="752"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合计</w:t>
            </w:r>
          </w:p>
        </w:tc>
        <w:tc>
          <w:tcPr>
            <w:tcW w:w="751"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因公出国</w:t>
            </w:r>
          </w:p>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（境）费</w:t>
            </w:r>
          </w:p>
        </w:tc>
        <w:tc>
          <w:tcPr>
            <w:tcW w:w="2254"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公务用车购置及运行费</w:t>
            </w:r>
          </w:p>
        </w:tc>
        <w:tc>
          <w:tcPr>
            <w:tcW w:w="751"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公务接待费</w:t>
            </w:r>
          </w:p>
        </w:tc>
        <w:tc>
          <w:tcPr>
            <w:tcW w:w="491"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5125F2">
        <w:trPr>
          <w:trHeight w:val="731"/>
          <w:jc w:val="center"/>
        </w:trPr>
        <w:tc>
          <w:tcPr>
            <w:tcW w:w="752" w:type="pct"/>
            <w:gridSpan w:val="2"/>
            <w:vMerge/>
            <w:tcBorders>
              <w:top w:val="nil"/>
              <w:left w:val="single" w:sz="8" w:space="0" w:color="auto"/>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751" w:type="pct"/>
            <w:gridSpan w:val="2"/>
            <w:vMerge/>
            <w:tcBorders>
              <w:top w:val="nil"/>
              <w:left w:val="single" w:sz="8" w:space="0" w:color="auto"/>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75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小计</w:t>
            </w:r>
          </w:p>
        </w:tc>
        <w:tc>
          <w:tcPr>
            <w:tcW w:w="75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公务用车</w:t>
            </w:r>
          </w:p>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购置费</w:t>
            </w:r>
          </w:p>
        </w:tc>
        <w:tc>
          <w:tcPr>
            <w:tcW w:w="75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公务用车</w:t>
            </w:r>
          </w:p>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运行费</w:t>
            </w:r>
          </w:p>
        </w:tc>
        <w:tc>
          <w:tcPr>
            <w:tcW w:w="751" w:type="pct"/>
            <w:gridSpan w:val="2"/>
            <w:vMerge/>
            <w:tcBorders>
              <w:top w:val="single" w:sz="8" w:space="0" w:color="auto"/>
              <w:left w:val="single" w:sz="8" w:space="0" w:color="auto"/>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491" w:type="pct"/>
            <w:vMerge/>
            <w:tcBorders>
              <w:top w:val="single" w:sz="8" w:space="0" w:color="auto"/>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5125F2">
        <w:trPr>
          <w:trHeight w:val="743"/>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预算数</w:t>
            </w:r>
          </w:p>
        </w:tc>
        <w:tc>
          <w:tcPr>
            <w:tcW w:w="3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决算数</w:t>
            </w:r>
          </w:p>
        </w:tc>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预算数</w:t>
            </w:r>
          </w:p>
        </w:tc>
        <w:tc>
          <w:tcPr>
            <w:tcW w:w="3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决算数</w:t>
            </w:r>
          </w:p>
        </w:tc>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预算数</w:t>
            </w:r>
          </w:p>
        </w:tc>
        <w:tc>
          <w:tcPr>
            <w:tcW w:w="3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决算数</w:t>
            </w:r>
          </w:p>
        </w:tc>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预算数</w:t>
            </w: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决算数</w:t>
            </w:r>
          </w:p>
        </w:tc>
        <w:tc>
          <w:tcPr>
            <w:tcW w:w="3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预算数</w:t>
            </w: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决算数</w:t>
            </w:r>
          </w:p>
        </w:tc>
        <w:tc>
          <w:tcPr>
            <w:tcW w:w="3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预算数</w:t>
            </w: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决算数</w:t>
            </w:r>
          </w:p>
        </w:tc>
        <w:tc>
          <w:tcPr>
            <w:tcW w:w="4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25.31</w:t>
            </w:r>
          </w:p>
        </w:tc>
      </w:tr>
      <w:tr w:rsidR="00020C01" w:rsidRPr="00020C01" w:rsidTr="005125F2">
        <w:trPr>
          <w:trHeight w:val="300"/>
          <w:jc w:val="center"/>
        </w:trPr>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lastRenderedPageBreak/>
              <w:t>6.43</w:t>
            </w:r>
          </w:p>
        </w:tc>
        <w:tc>
          <w:tcPr>
            <w:tcW w:w="3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6.43</w:t>
            </w:r>
          </w:p>
        </w:tc>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3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6.33</w:t>
            </w:r>
          </w:p>
        </w:tc>
        <w:tc>
          <w:tcPr>
            <w:tcW w:w="3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6.33</w:t>
            </w:r>
          </w:p>
        </w:tc>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3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 </w:t>
            </w:r>
          </w:p>
        </w:tc>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6.33</w:t>
            </w:r>
          </w:p>
        </w:tc>
        <w:tc>
          <w:tcPr>
            <w:tcW w:w="3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6.33</w:t>
            </w:r>
          </w:p>
        </w:tc>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0.10</w:t>
            </w:r>
          </w:p>
        </w:tc>
        <w:tc>
          <w:tcPr>
            <w:tcW w:w="3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kern w:val="0"/>
                <w:szCs w:val="21"/>
              </w:rPr>
              <w:t>0.10</w:t>
            </w:r>
          </w:p>
        </w:tc>
        <w:tc>
          <w:tcPr>
            <w:tcW w:w="491" w:type="pct"/>
            <w:vMerge/>
            <w:tcBorders>
              <w:top w:val="single" w:sz="8" w:space="0" w:color="auto"/>
              <w:left w:val="single" w:sz="8" w:space="0" w:color="auto"/>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bookmarkStart w:id="0" w:name="_GoBack"/>
        <w:bookmarkEnd w:id="0"/>
      </w:tr>
    </w:tbl>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br w:type="textWrapping" w:clear="all"/>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2019年度政府性基金预算财政拨款支出决算表</w:t>
      </w:r>
    </w:p>
    <w:p w:rsidR="00020C01" w:rsidRPr="00020C01" w:rsidRDefault="00020C01" w:rsidP="00020C01">
      <w:pPr>
        <w:widowControl/>
        <w:ind w:right="360"/>
        <w:jc w:val="righ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单位：万元</w:t>
      </w:r>
    </w:p>
    <w:tbl>
      <w:tblPr>
        <w:tblW w:w="0" w:type="auto"/>
        <w:jc w:val="center"/>
        <w:tblCellMar>
          <w:top w:w="15" w:type="dxa"/>
          <w:left w:w="15" w:type="dxa"/>
          <w:bottom w:w="15" w:type="dxa"/>
          <w:right w:w="15" w:type="dxa"/>
        </w:tblCellMar>
        <w:tblLook w:val="04A0" w:firstRow="1" w:lastRow="0" w:firstColumn="1" w:lastColumn="0" w:noHBand="0" w:noVBand="1"/>
      </w:tblPr>
      <w:tblGrid>
        <w:gridCol w:w="563"/>
        <w:gridCol w:w="540"/>
        <w:gridCol w:w="540"/>
        <w:gridCol w:w="1800"/>
        <w:gridCol w:w="1620"/>
        <w:gridCol w:w="1440"/>
        <w:gridCol w:w="1495"/>
      </w:tblGrid>
      <w:tr w:rsidR="00020C01" w:rsidRPr="00020C01" w:rsidTr="00020C01">
        <w:trPr>
          <w:trHeight w:val="480"/>
          <w:jc w:val="center"/>
        </w:trPr>
        <w:tc>
          <w:tcPr>
            <w:tcW w:w="344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项目</w:t>
            </w:r>
          </w:p>
        </w:tc>
        <w:tc>
          <w:tcPr>
            <w:tcW w:w="1620"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合计</w:t>
            </w:r>
          </w:p>
        </w:tc>
        <w:tc>
          <w:tcPr>
            <w:tcW w:w="1440"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基本支出</w:t>
            </w:r>
          </w:p>
        </w:tc>
        <w:tc>
          <w:tcPr>
            <w:tcW w:w="1495"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项目支出</w:t>
            </w:r>
          </w:p>
        </w:tc>
      </w:tr>
      <w:tr w:rsidR="00020C01" w:rsidRPr="00020C01" w:rsidTr="00020C01">
        <w:trPr>
          <w:trHeight w:val="480"/>
          <w:jc w:val="center"/>
        </w:trPr>
        <w:tc>
          <w:tcPr>
            <w:tcW w:w="164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功能分类</w:t>
            </w:r>
          </w:p>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科目编码</w:t>
            </w:r>
          </w:p>
        </w:tc>
        <w:tc>
          <w:tcPr>
            <w:tcW w:w="18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科目名称</w:t>
            </w: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020C01">
        <w:trPr>
          <w:trHeight w:val="480"/>
          <w:jc w:val="center"/>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类</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款</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项</w:t>
            </w:r>
          </w:p>
        </w:tc>
        <w:tc>
          <w:tcPr>
            <w:tcW w:w="0" w:type="auto"/>
            <w:vMerge/>
            <w:tcBorders>
              <w:top w:val="nil"/>
              <w:left w:val="nil"/>
              <w:bottom w:val="single" w:sz="8" w:space="0" w:color="auto"/>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auto"/>
              <w:left w:val="nil"/>
              <w:bottom w:val="nil"/>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020C01">
        <w:trPr>
          <w:trHeight w:val="480"/>
          <w:jc w:val="center"/>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229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其他支出</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229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08</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彩票发行销售机构业务费安排的支出</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229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08</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04</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福利彩票销售机构的业务费支出</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r w:rsidR="00020C01" w:rsidRPr="00020C01" w:rsidTr="00020C01">
        <w:trPr>
          <w:trHeight w:val="480"/>
          <w:jc w:val="center"/>
        </w:trPr>
        <w:tc>
          <w:tcPr>
            <w:tcW w:w="3443"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合计</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c>
          <w:tcPr>
            <w:tcW w:w="1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Cs w:val="21"/>
              </w:rPr>
              <w:t> </w:t>
            </w:r>
          </w:p>
        </w:tc>
      </w:tr>
    </w:tbl>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注：上海市松江区应急管理局2019年度无政府性基金预算财政拨款支出，故本表无数据。</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lastRenderedPageBreak/>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tbl>
      <w:tblPr>
        <w:tblW w:w="10073" w:type="dxa"/>
        <w:jc w:val="center"/>
        <w:tblCellMar>
          <w:top w:w="15" w:type="dxa"/>
          <w:left w:w="15" w:type="dxa"/>
          <w:bottom w:w="15" w:type="dxa"/>
          <w:right w:w="15" w:type="dxa"/>
        </w:tblCellMar>
        <w:tblLook w:val="04A0" w:firstRow="1" w:lastRow="0" w:firstColumn="1" w:lastColumn="0" w:noHBand="0" w:noVBand="1"/>
      </w:tblPr>
      <w:tblGrid>
        <w:gridCol w:w="6190"/>
        <w:gridCol w:w="1070"/>
        <w:gridCol w:w="992"/>
        <w:gridCol w:w="851"/>
        <w:gridCol w:w="970"/>
      </w:tblGrid>
      <w:tr w:rsidR="00020C01" w:rsidRPr="00020C01" w:rsidTr="00020C01">
        <w:trPr>
          <w:trHeight w:val="660"/>
          <w:jc w:val="center"/>
        </w:trPr>
        <w:tc>
          <w:tcPr>
            <w:tcW w:w="10073" w:type="dxa"/>
            <w:gridSpan w:val="5"/>
            <w:tcBorders>
              <w:top w:val="nil"/>
              <w:left w:val="nil"/>
              <w:bottom w:val="nil"/>
              <w:right w:val="nil"/>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Cs w:val="21"/>
              </w:rPr>
              <w:t>2019年度资产负债情况表</w:t>
            </w:r>
          </w:p>
        </w:tc>
      </w:tr>
      <w:tr w:rsidR="00020C01" w:rsidRPr="00020C01" w:rsidTr="00020C01">
        <w:trPr>
          <w:trHeight w:val="435"/>
          <w:jc w:val="center"/>
        </w:trPr>
        <w:tc>
          <w:tcPr>
            <w:tcW w:w="6190" w:type="dxa"/>
            <w:tcBorders>
              <w:top w:val="nil"/>
              <w:left w:val="nil"/>
              <w:bottom w:val="single" w:sz="8" w:space="0" w:color="000000"/>
              <w:right w:val="nil"/>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b/>
                <w:bCs/>
                <w:kern w:val="0"/>
                <w:sz w:val="36"/>
                <w:szCs w:val="36"/>
              </w:rPr>
              <w:t> </w:t>
            </w:r>
          </w:p>
        </w:tc>
        <w:tc>
          <w:tcPr>
            <w:tcW w:w="2062" w:type="dxa"/>
            <w:gridSpan w:val="2"/>
            <w:tcBorders>
              <w:top w:val="nil"/>
              <w:left w:val="nil"/>
              <w:bottom w:val="single" w:sz="8" w:space="0" w:color="auto"/>
              <w:right w:val="nil"/>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1821" w:type="dxa"/>
            <w:gridSpan w:val="2"/>
            <w:tcBorders>
              <w:top w:val="nil"/>
              <w:left w:val="nil"/>
              <w:bottom w:val="single" w:sz="8" w:space="0" w:color="auto"/>
              <w:right w:val="nil"/>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金额单位：万元</w:t>
            </w:r>
          </w:p>
        </w:tc>
      </w:tr>
      <w:tr w:rsidR="00020C01" w:rsidRPr="00020C01" w:rsidTr="00020C01">
        <w:trPr>
          <w:trHeight w:val="435"/>
          <w:jc w:val="center"/>
        </w:trPr>
        <w:tc>
          <w:tcPr>
            <w:tcW w:w="619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2062"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数量</w:t>
            </w:r>
          </w:p>
        </w:tc>
        <w:tc>
          <w:tcPr>
            <w:tcW w:w="1821"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价值</w:t>
            </w:r>
          </w:p>
        </w:tc>
      </w:tr>
      <w:tr w:rsidR="00020C01" w:rsidRPr="00020C01" w:rsidTr="00020C01">
        <w:trPr>
          <w:trHeight w:val="405"/>
          <w:jc w:val="center"/>
        </w:trPr>
        <w:tc>
          <w:tcPr>
            <w:tcW w:w="0" w:type="auto"/>
            <w:vMerge/>
            <w:tcBorders>
              <w:top w:val="nil"/>
              <w:left w:val="single" w:sz="8" w:space="0" w:color="auto"/>
              <w:bottom w:val="single" w:sz="8" w:space="0" w:color="000000"/>
              <w:right w:val="single" w:sz="8" w:space="0" w:color="auto"/>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年初数</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年末数</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年初数</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年末数</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b/>
                <w:bCs/>
                <w:kern w:val="0"/>
                <w:sz w:val="20"/>
                <w:szCs w:val="20"/>
              </w:rPr>
              <w:t>一、资产合计</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 xml:space="preserve">　125.61</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85.84</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（一）流动资产</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 xml:space="preserve">　48.12</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10.24</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（二）固定资产</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235.75</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253.81</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其中：1.房屋（平方米）</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t>                2.</w:t>
            </w:r>
            <w:r w:rsidRPr="00020C01">
              <w:rPr>
                <w:rFonts w:ascii="宋体" w:eastAsia="宋体" w:hAnsi="宋体" w:cs="宋体" w:hint="eastAsia"/>
                <w:kern w:val="0"/>
                <w:sz w:val="20"/>
                <w:szCs w:val="20"/>
              </w:rPr>
              <w:t>通用设备（台</w:t>
            </w:r>
            <w:r w:rsidRPr="00020C01">
              <w:rPr>
                <w:rFonts w:ascii="Calibri" w:eastAsia="宋体" w:hAnsi="Calibri" w:cs="Calibri"/>
                <w:kern w:val="0"/>
                <w:sz w:val="20"/>
                <w:szCs w:val="20"/>
              </w:rPr>
              <w:t>/</w:t>
            </w:r>
            <w:r w:rsidRPr="00020C01">
              <w:rPr>
                <w:rFonts w:ascii="宋体" w:eastAsia="宋体" w:hAnsi="宋体" w:cs="宋体" w:hint="eastAsia"/>
                <w:kern w:val="0"/>
                <w:sz w:val="20"/>
                <w:szCs w:val="20"/>
              </w:rPr>
              <w:t>套</w:t>
            </w:r>
            <w:r w:rsidRPr="00020C01">
              <w:rPr>
                <w:rFonts w:ascii="Calibri" w:eastAsia="宋体" w:hAnsi="Calibri" w:cs="Calibri"/>
                <w:kern w:val="0"/>
                <w:sz w:val="20"/>
                <w:szCs w:val="20"/>
              </w:rPr>
              <w:t>/</w:t>
            </w:r>
            <w:r w:rsidRPr="00020C01">
              <w:rPr>
                <w:rFonts w:ascii="宋体" w:eastAsia="宋体" w:hAnsi="宋体" w:cs="宋体" w:hint="eastAsia"/>
                <w:kern w:val="0"/>
                <w:sz w:val="20"/>
                <w:szCs w:val="20"/>
              </w:rPr>
              <w:t>辆）</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168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182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179.76</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194.95</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t>                     </w:t>
            </w:r>
            <w:r w:rsidRPr="00020C01">
              <w:rPr>
                <w:rFonts w:ascii="宋体" w:eastAsia="宋体" w:hAnsi="宋体" w:cs="宋体" w:hint="eastAsia"/>
                <w:kern w:val="0"/>
                <w:sz w:val="20"/>
                <w:szCs w:val="20"/>
              </w:rPr>
              <w:t>其中：（</w:t>
            </w:r>
            <w:r w:rsidRPr="00020C01">
              <w:rPr>
                <w:rFonts w:ascii="Calibri" w:eastAsia="宋体" w:hAnsi="Calibri" w:cs="Calibri"/>
                <w:kern w:val="0"/>
                <w:sz w:val="20"/>
                <w:szCs w:val="20"/>
              </w:rPr>
              <w:t>1</w:t>
            </w:r>
            <w:r w:rsidRPr="00020C01">
              <w:rPr>
                <w:rFonts w:ascii="宋体" w:eastAsia="宋体" w:hAnsi="宋体" w:cs="宋体" w:hint="eastAsia"/>
                <w:kern w:val="0"/>
                <w:sz w:val="20"/>
                <w:szCs w:val="20"/>
              </w:rPr>
              <w:t>）车辆（辆）</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3</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48.08</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53.23</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t>                                 </w:t>
            </w:r>
            <w:r w:rsidRPr="00020C01">
              <w:rPr>
                <w:rFonts w:ascii="宋体" w:eastAsia="宋体" w:hAnsi="宋体" w:cs="宋体" w:hint="eastAsia"/>
                <w:kern w:val="0"/>
                <w:sz w:val="20"/>
                <w:szCs w:val="20"/>
              </w:rPr>
              <w:t>一般公务用车</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t>                                 </w:t>
            </w:r>
            <w:r w:rsidRPr="00020C01">
              <w:rPr>
                <w:rFonts w:ascii="宋体" w:eastAsia="宋体" w:hAnsi="宋体" w:cs="宋体" w:hint="eastAsia"/>
                <w:kern w:val="0"/>
                <w:sz w:val="20"/>
                <w:szCs w:val="20"/>
              </w:rPr>
              <w:t>执法执勤用车</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48.08</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48.08</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t>                                 </w:t>
            </w:r>
            <w:r w:rsidRPr="00020C01">
              <w:rPr>
                <w:rFonts w:ascii="宋体" w:eastAsia="宋体" w:hAnsi="宋体" w:cs="宋体" w:hint="eastAsia"/>
                <w:kern w:val="0"/>
                <w:sz w:val="20"/>
                <w:szCs w:val="20"/>
              </w:rPr>
              <w:t>特种专业技术用车</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t>                                 </w:t>
            </w:r>
            <w:r w:rsidRPr="00020C01">
              <w:rPr>
                <w:rFonts w:ascii="宋体" w:eastAsia="宋体" w:hAnsi="宋体" w:cs="宋体" w:hint="eastAsia"/>
                <w:kern w:val="0"/>
                <w:sz w:val="20"/>
                <w:szCs w:val="20"/>
              </w:rPr>
              <w:t>其他用车</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1</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5.15</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（2）单价50万元以上通用设备（不含车辆）</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3.专用设备（台/套）</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28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28</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26.55</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26.55</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其中：单价100万元以上专用设备</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4.其他固定资产</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29.44</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32.31</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减：累计折旧及减值准备</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165.97</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183.87</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t>   </w:t>
            </w:r>
            <w:r w:rsidRPr="00020C01">
              <w:rPr>
                <w:rFonts w:ascii="宋体" w:eastAsia="宋体" w:hAnsi="宋体" w:cs="宋体" w:hint="eastAsia"/>
                <w:kern w:val="0"/>
                <w:sz w:val="20"/>
                <w:szCs w:val="20"/>
              </w:rPr>
              <w:t>（三）长期股权投资</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t>   </w:t>
            </w:r>
            <w:r w:rsidRPr="00020C01">
              <w:rPr>
                <w:rFonts w:ascii="宋体" w:eastAsia="宋体" w:hAnsi="宋体" w:cs="宋体" w:hint="eastAsia"/>
                <w:kern w:val="0"/>
                <w:sz w:val="20"/>
                <w:szCs w:val="20"/>
              </w:rPr>
              <w:t>（四）长期债券投资</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t>   </w:t>
            </w:r>
            <w:r w:rsidRPr="00020C01">
              <w:rPr>
                <w:rFonts w:ascii="宋体" w:eastAsia="宋体" w:hAnsi="宋体" w:cs="宋体" w:hint="eastAsia"/>
                <w:kern w:val="0"/>
                <w:sz w:val="20"/>
                <w:szCs w:val="20"/>
              </w:rPr>
              <w:t>（五）在建工程</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lastRenderedPageBreak/>
              <w:t>   </w:t>
            </w:r>
            <w:r w:rsidRPr="00020C01">
              <w:rPr>
                <w:rFonts w:ascii="宋体" w:eastAsia="宋体" w:hAnsi="宋体" w:cs="宋体" w:hint="eastAsia"/>
                <w:kern w:val="0"/>
                <w:sz w:val="20"/>
                <w:szCs w:val="20"/>
              </w:rPr>
              <w:t>（六）无形资产</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 xml:space="preserve">14.40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14.40</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t>        </w:t>
            </w:r>
            <w:r w:rsidRPr="00020C01">
              <w:rPr>
                <w:rFonts w:ascii="宋体" w:eastAsia="宋体" w:hAnsi="宋体" w:cs="宋体" w:hint="eastAsia"/>
                <w:kern w:val="0"/>
                <w:sz w:val="20"/>
                <w:szCs w:val="20"/>
              </w:rPr>
              <w:t>减：累计摊销</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 xml:space="preserve">6.69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8.74</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Calibri" w:eastAsia="宋体" w:hAnsi="Calibri" w:cs="Calibri"/>
                <w:kern w:val="0"/>
                <w:sz w:val="20"/>
                <w:szCs w:val="20"/>
              </w:rPr>
              <w:t>   </w:t>
            </w:r>
            <w:r w:rsidRPr="00020C01">
              <w:rPr>
                <w:rFonts w:ascii="宋体" w:eastAsia="宋体" w:hAnsi="宋体" w:cs="宋体" w:hint="eastAsia"/>
                <w:kern w:val="0"/>
                <w:sz w:val="20"/>
                <w:szCs w:val="20"/>
              </w:rPr>
              <w:t>（七）其他资产</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 </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b/>
                <w:bCs/>
                <w:kern w:val="0"/>
                <w:sz w:val="20"/>
                <w:szCs w:val="20"/>
              </w:rPr>
              <w:t>二、负债合计</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8.82</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8.90</w:t>
            </w:r>
          </w:p>
        </w:tc>
      </w:tr>
      <w:tr w:rsidR="00020C01" w:rsidRPr="00020C01" w:rsidTr="00020C01">
        <w:trPr>
          <w:trHeight w:val="402"/>
          <w:jc w:val="center"/>
        </w:trPr>
        <w:tc>
          <w:tcPr>
            <w:tcW w:w="61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b/>
                <w:bCs/>
                <w:kern w:val="0"/>
                <w:sz w:val="20"/>
                <w:szCs w:val="20"/>
              </w:rPr>
              <w:t>三、净资产合计</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kern w:val="0"/>
                <w:sz w:val="20"/>
                <w:szCs w:val="20"/>
              </w:rPr>
              <w:t>——</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0"/>
                <w:szCs w:val="20"/>
              </w:rPr>
              <w:t xml:space="preserve">　116.79</w:t>
            </w:r>
          </w:p>
        </w:tc>
        <w:tc>
          <w:tcPr>
            <w:tcW w:w="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kern w:val="0"/>
                <w:sz w:val="22"/>
              </w:rPr>
              <w:t xml:space="preserve">　76.94</w:t>
            </w:r>
          </w:p>
        </w:tc>
      </w:tr>
    </w:tbl>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t> </w:t>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宋体" w:eastAsia="宋体" w:hAnsi="宋体" w:cs="宋体" w:hint="eastAsia"/>
          <w:color w:val="333333"/>
          <w:kern w:val="0"/>
          <w:szCs w:val="21"/>
        </w:rPr>
        <w:br w:type="textWrapping" w:clear="all"/>
      </w:r>
      <w:r w:rsidRPr="00020C01">
        <w:rPr>
          <w:rFonts w:ascii="黑体" w:eastAsia="黑体" w:hAnsi="黑体" w:cs="宋体" w:hint="eastAsia"/>
          <w:color w:val="333333"/>
          <w:kern w:val="0"/>
          <w:sz w:val="30"/>
          <w:szCs w:val="30"/>
        </w:rPr>
        <w:t>第三部分</w:t>
      </w:r>
      <w:r w:rsidRPr="00020C01">
        <w:rPr>
          <w:rFonts w:ascii="Calibri" w:eastAsia="黑体" w:hAnsi="Calibri" w:cs="Calibri"/>
          <w:color w:val="333333"/>
          <w:kern w:val="0"/>
          <w:sz w:val="30"/>
          <w:szCs w:val="30"/>
        </w:rPr>
        <w:t>  </w:t>
      </w:r>
      <w:r w:rsidRPr="00020C01">
        <w:rPr>
          <w:rFonts w:ascii="黑体" w:eastAsia="黑体" w:hAnsi="黑体" w:cs="宋体" w:hint="eastAsia"/>
          <w:color w:val="333333"/>
          <w:kern w:val="0"/>
          <w:sz w:val="30"/>
          <w:szCs w:val="30"/>
        </w:rPr>
        <w:t>上海市松江区应急管理局2019年度部门决算情况说明</w:t>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Calibri" w:eastAsia="黑体" w:hAnsi="Calibri" w:cs="Calibri"/>
          <w:color w:val="333333"/>
          <w:kern w:val="0"/>
          <w:sz w:val="30"/>
          <w:szCs w:val="30"/>
        </w:rPr>
        <w:t> </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一、关于上海市松江区应急管理局2019年度收入支出决算总体情况说明</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上海市松江区应急管理局2019年度收入总计为1637.60万元、支出总计为1637.60万元。与2018年度相比，收入、支出总计各增加0.98万元。主要原因：人员经费增加。</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二、关于上海市松江区应急管理局2019年度收入决算情况说明</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本年收入合计1620.80万元，其中：财政拨款收入1618.00万元，占99.83%；其他收入2.80万元，占0.17%。</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三、关于上海市松江区应急管理局2019年度支出决算情况说明</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lastRenderedPageBreak/>
        <w:t>本年支出合计1628.16万元，其中：基本支出1259.09万元，占77.33%；项目支出369.07万元，占22.67%。</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四、关于上海市松江区应急管理局2019年度财政拨款收入支出总体情况说明</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上海市松江区应急管理局2019年度财政拨款收支总决算1634.80万元。与2018年度相比，财政拨款收、支总计各增加6.58万元，增加0.40%。主要原因：人员经费增加。</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五、关于上海市松江区应急管理局2019年度一般公共预算财政拨款支出决算情况说明</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（一）一般公共预算财政拨款支出决算总体情况</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上海市松江区应急管理局2019年度一般公共预算财政拨款支出1625.36万元，占本年支出合计的99.83%。与2018年度相比，一般公共预算财政拨款支出增加35.68万元，增长2.24%。主要原因：人员经费增加。</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（二）一般公共预算财政拨款支出决算结构情况</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2019年度一般公共预算财政拨款支出1625.36万元，主要用于以下方面：社会保障和就业支出（类）128.60万元，占7.91%；卫生健康支出（类）47.50万元，占2.92%，住房保障支出（类）116.02万元，占7.14%，灾害防治及应急管理支出（类）1333.24万元，占82.03%。</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（三）一般公共预算财政拨款支出决算具体情况</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lastRenderedPageBreak/>
        <w:t>上海市松江区应急管理局2019年度一般公共预算财政拨款支出年初预算为1380.86万元，支出决算为1625.36万元，完成年初预算的117.71%。决算数大于预算数的主要原因：人员增加和</w:t>
      </w:r>
      <w:r w:rsidRPr="00020C01">
        <w:rPr>
          <w:rFonts w:ascii="仿宋_GB2312" w:eastAsia="仿宋_GB2312" w:hAnsi="微软雅黑" w:cs="宋体" w:hint="eastAsia"/>
          <w:color w:val="000000"/>
          <w:kern w:val="0"/>
          <w:sz w:val="30"/>
          <w:szCs w:val="30"/>
        </w:rPr>
        <w:t>2019年机构改革调整预算</w:t>
      </w:r>
      <w:r w:rsidRPr="00020C01">
        <w:rPr>
          <w:rFonts w:ascii="仿宋_GB2312" w:eastAsia="仿宋_GB2312" w:hAnsi="微软雅黑" w:cs="宋体" w:hint="eastAsia"/>
          <w:color w:val="333333"/>
          <w:kern w:val="0"/>
          <w:sz w:val="30"/>
          <w:szCs w:val="30"/>
        </w:rPr>
        <w:t>。其中：</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1、社会保障和就业支出（类）行政事业单位离退休（款）归口管理的行政事业单位离退休（项）。主要用于：</w:t>
      </w:r>
      <w:r w:rsidRPr="00020C01">
        <w:rPr>
          <w:rFonts w:ascii="仿宋_GB2312" w:eastAsia="仿宋_GB2312" w:hAnsi="微软雅黑" w:cs="宋体" w:hint="eastAsia"/>
          <w:color w:val="000000"/>
          <w:kern w:val="0"/>
          <w:sz w:val="30"/>
          <w:szCs w:val="30"/>
        </w:rPr>
        <w:t>退休人员福利费及活动费支出。</w:t>
      </w:r>
      <w:r w:rsidRPr="00020C01">
        <w:rPr>
          <w:rFonts w:ascii="仿宋_GB2312" w:eastAsia="仿宋_GB2312" w:hAnsi="微软雅黑" w:cs="宋体" w:hint="eastAsia"/>
          <w:color w:val="333333"/>
          <w:kern w:val="0"/>
          <w:sz w:val="30"/>
          <w:szCs w:val="30"/>
        </w:rPr>
        <w:t>年初预算为0.00万元，支出决算为0.57万元。决算数大于预算数的主要原因：年初功能类科目调整等。</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2、社会保障和就业支出（类）行政事业单位离退休（款）事业单位离退休（项）。主要用于：</w:t>
      </w:r>
      <w:r w:rsidRPr="00020C01">
        <w:rPr>
          <w:rFonts w:ascii="仿宋_GB2312" w:eastAsia="仿宋_GB2312" w:hAnsi="微软雅黑" w:cs="宋体" w:hint="eastAsia"/>
          <w:color w:val="000000"/>
          <w:kern w:val="0"/>
          <w:sz w:val="30"/>
          <w:szCs w:val="30"/>
        </w:rPr>
        <w:t>退休人员福利费及活动费支出。</w:t>
      </w:r>
      <w:r w:rsidRPr="00020C01">
        <w:rPr>
          <w:rFonts w:ascii="仿宋_GB2312" w:eastAsia="仿宋_GB2312" w:hAnsi="微软雅黑" w:cs="宋体" w:hint="eastAsia"/>
          <w:color w:val="333333"/>
          <w:kern w:val="0"/>
          <w:sz w:val="30"/>
          <w:szCs w:val="30"/>
        </w:rPr>
        <w:t>年初预算为0.46万元，支出决算为0.11万元。决算数小于预算数的主要原因：按规定实际支出比预算定额少。</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000000"/>
          <w:kern w:val="0"/>
          <w:sz w:val="30"/>
          <w:szCs w:val="30"/>
        </w:rPr>
        <w:t>3、社会保障和就业支出（类）行政事业单位离退休（款）机关事业单位基本养老保险缴费支出（项）。主要用于：职工基本养老保险缴费。年初预算为73.95万元，支出决算为87.84万元。决算数大于预算数的主要原因：社保基数调整和人员增加。</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000000"/>
          <w:kern w:val="0"/>
          <w:sz w:val="30"/>
          <w:szCs w:val="30"/>
        </w:rPr>
        <w:t>4、社会保障和就业支出（类）行政事业单位离退休（款）机关事业单位职业年金缴费支出（项）。主要用于：职工职业年金缴费。年初预算为29.58万元，支出决算为40.09万元。决算数大于预算数的主要原因：社保基数调整和人员增加。</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000000"/>
          <w:kern w:val="0"/>
          <w:sz w:val="30"/>
          <w:szCs w:val="30"/>
        </w:rPr>
        <w:lastRenderedPageBreak/>
        <w:t>5、卫生健康支出（类）行政事业单位医疗（款）行政单位医疗（项）。主要用于：</w:t>
      </w:r>
      <w:r w:rsidRPr="00020C01">
        <w:rPr>
          <w:rFonts w:ascii="仿宋_GB2312" w:eastAsia="仿宋_GB2312" w:hAnsi="微软雅黑" w:cs="宋体" w:hint="eastAsia"/>
          <w:color w:val="333333"/>
          <w:kern w:val="0"/>
          <w:sz w:val="30"/>
          <w:szCs w:val="30"/>
        </w:rPr>
        <w:t>职工医疗保险缴费。</w:t>
      </w:r>
      <w:r w:rsidRPr="00020C01">
        <w:rPr>
          <w:rFonts w:ascii="仿宋_GB2312" w:eastAsia="仿宋_GB2312" w:hAnsi="微软雅黑" w:cs="宋体" w:hint="eastAsia"/>
          <w:color w:val="000000"/>
          <w:kern w:val="0"/>
          <w:sz w:val="30"/>
          <w:szCs w:val="30"/>
        </w:rPr>
        <w:t>年初预算为14.05万元，支出决算为14.42万元。决算数大于预算数的主要原因：社保基数调整和人员增加。</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000000"/>
          <w:kern w:val="0"/>
          <w:sz w:val="30"/>
          <w:szCs w:val="30"/>
        </w:rPr>
        <w:t>6、卫生健康支</w:t>
      </w:r>
      <w:r w:rsidRPr="00020C01">
        <w:rPr>
          <w:rFonts w:ascii="仿宋_GB2312" w:eastAsia="仿宋_GB2312" w:hAnsi="微软雅黑" w:cs="宋体" w:hint="eastAsia"/>
          <w:color w:val="333333"/>
          <w:kern w:val="0"/>
          <w:sz w:val="30"/>
          <w:szCs w:val="30"/>
        </w:rPr>
        <w:t>出（类）行政事业单位医疗（款）事业单位医疗（项）。主要用于：职工医疗保险缴费。年初预算为21.07万元，支出决算为33.08万元。决算数大</w:t>
      </w:r>
      <w:r w:rsidRPr="00020C01">
        <w:rPr>
          <w:rFonts w:ascii="仿宋_GB2312" w:eastAsia="仿宋_GB2312" w:hAnsi="微软雅黑" w:cs="宋体" w:hint="eastAsia"/>
          <w:color w:val="000000"/>
          <w:kern w:val="0"/>
          <w:sz w:val="30"/>
          <w:szCs w:val="30"/>
        </w:rPr>
        <w:t>于预算数的主要原因：社保基数调整和人员增加。</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000000"/>
          <w:kern w:val="0"/>
          <w:sz w:val="30"/>
          <w:szCs w:val="30"/>
        </w:rPr>
        <w:t>7、住房保障支出（类）住房改革支出（款）住房公积金（项）。主要用</w:t>
      </w:r>
      <w:r w:rsidRPr="00020C01">
        <w:rPr>
          <w:rFonts w:ascii="仿宋_GB2312" w:eastAsia="仿宋_GB2312" w:hAnsi="微软雅黑" w:cs="宋体" w:hint="eastAsia"/>
          <w:color w:val="333333"/>
          <w:kern w:val="0"/>
          <w:sz w:val="30"/>
          <w:szCs w:val="30"/>
        </w:rPr>
        <w:t>于：职工住房公积金缴费。年初预</w:t>
      </w:r>
      <w:r w:rsidRPr="00020C01">
        <w:rPr>
          <w:rFonts w:ascii="仿宋_GB2312" w:eastAsia="仿宋_GB2312" w:hAnsi="微软雅黑" w:cs="宋体" w:hint="eastAsia"/>
          <w:color w:val="000000"/>
          <w:kern w:val="0"/>
          <w:sz w:val="30"/>
          <w:szCs w:val="30"/>
        </w:rPr>
        <w:t>算为52.51万元，支出决算为70.52万元。决算数大于预算数的主要原因：住房公积金基数调整和人员增加。</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000000"/>
          <w:kern w:val="0"/>
          <w:sz w:val="30"/>
          <w:szCs w:val="30"/>
        </w:rPr>
        <w:t>8、住房保障支出</w:t>
      </w:r>
      <w:r w:rsidRPr="00020C01">
        <w:rPr>
          <w:rFonts w:ascii="仿宋_GB2312" w:eastAsia="仿宋_GB2312" w:hAnsi="微软雅黑" w:cs="宋体" w:hint="eastAsia"/>
          <w:color w:val="333333"/>
          <w:kern w:val="0"/>
          <w:sz w:val="30"/>
          <w:szCs w:val="30"/>
        </w:rPr>
        <w:t>（类）住房改革支出（款）购房补贴（项）。主要用于：公务员住房补贴。年初</w:t>
      </w:r>
      <w:r w:rsidRPr="00020C01">
        <w:rPr>
          <w:rFonts w:ascii="仿宋_GB2312" w:eastAsia="仿宋_GB2312" w:hAnsi="微软雅黑" w:cs="宋体" w:hint="eastAsia"/>
          <w:color w:val="000000"/>
          <w:kern w:val="0"/>
          <w:sz w:val="30"/>
          <w:szCs w:val="30"/>
        </w:rPr>
        <w:t>预算为0.00万元，支出决算为45.50万元。决算数大于预算数的主要原因：年初功能类科目调整。</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000000"/>
          <w:kern w:val="0"/>
          <w:sz w:val="30"/>
          <w:szCs w:val="30"/>
        </w:rPr>
        <w:t>9、灾害防治及应急管理支出（类）应急管理事务（款）行政运行（项）。主要用于：人员经费及日常公用经费。年初预算为330.14万元，支出决算为367.74万元。决算数大于预算数的主要原因：人员增加。</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000000"/>
          <w:kern w:val="0"/>
          <w:sz w:val="30"/>
          <w:szCs w:val="30"/>
        </w:rPr>
        <w:t>10、灾害防治及应急管理支出（类）应急管理事务（款）安全监管（项）。主要用于：事故调查检测、危险化学品应急</w:t>
      </w:r>
      <w:r w:rsidRPr="00020C01">
        <w:rPr>
          <w:rFonts w:ascii="仿宋_GB2312" w:eastAsia="仿宋_GB2312" w:hAnsi="微软雅黑" w:cs="宋体" w:hint="eastAsia"/>
          <w:color w:val="000000"/>
          <w:kern w:val="0"/>
          <w:sz w:val="30"/>
          <w:szCs w:val="30"/>
        </w:rPr>
        <w:lastRenderedPageBreak/>
        <w:t>处置及综合整治监督管理、危化安全生产专家检查及评审等。年初预算为520.04万元，支出决算为361.88万元。决算数小于预算数的主要原因：2019年机构改革调整预算。</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000000"/>
          <w:kern w:val="0"/>
          <w:sz w:val="30"/>
          <w:szCs w:val="30"/>
        </w:rPr>
        <w:t>11、灾害防治及应急管理支出（类）应急管理事务（款）事业运行（项）。主要用于：人员经费及日常公用经费。年初预算为339.06万元，支出决算为596.43万元。决算数大于预算数的主要原因：人员增加。</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000000"/>
          <w:kern w:val="0"/>
          <w:sz w:val="30"/>
          <w:szCs w:val="30"/>
        </w:rPr>
        <w:t>12、灾害防治及应急管理支出（类）地震事务（款）地震监测（项）。主要用于：地震监测点测报服务、地震监测台站维护。年初预算为0.00万元，支出决算为2.78万元。决算数大于预算数的主要原因：2019年机构改革调整预算。</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000000"/>
          <w:kern w:val="0"/>
          <w:sz w:val="30"/>
          <w:szCs w:val="30"/>
        </w:rPr>
        <w:t>13、灾害防治及应急管理支出（类）自然灾害防治（款）其他自然灾害防治支出（项）。主要用于：512防灾减灾活动宣传、防灾减灾宣传。年初预算为0.00万元，支出决算为4.41万元。决算数大于预算数的主要原因：2019年机构改革调整预算。</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六、关于上海市松江区应急管理局2019年度一般公共预算财政拨款基本支出决算情况说明</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上海市松江区应急管理局2019年度一般公共预算财政拨款基本支出1256.29万元，包括人员经费1194.54万元，公用经费61.75万元。基本支出中：</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lastRenderedPageBreak/>
        <w:t>1、工资福利支出1193.42万元，主要用于：基本工资、津贴补贴、奖金、伙食补助费、绩效工资、机关事业单位基本养老保险缴费、职业年金缴费、职工基本医疗保险缴费、其他社会保障缴费、住房公积金、其他工资福利支出。</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2、商品和服务支出49.31万元，主要用于：办公费、印刷费、邮电费、差旅费、维修（护）费、培训费、公务接待费、劳务费、委托业务费、工会经费、福利费、公务用车运行维护费、其他交通费用、其他商品和服务支出。</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3、对个人和家庭的补助支出1.12万元，主要用于：奖励金、其他对个人和家庭的补助。</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4、资本性支出12.44万元，主要用于：办公设备购置。</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七、关于上海市松江区应急管理局2019年度一般公共预算财政拨款“三公”经费支出决算情况说明</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（一）“三公”经费财政拨款支出决算总体情况说明。</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2019年度“三公”经费财政拨款支出年初预算为10.70万元，支出决算为6.43万元，完成预算的60.09%，其中：因公出国（境）费决算为0.00万元，完成预算的0.00%；公务用车购置及运行维护费支出决算为6.33万元，完成预算的63.30%；公务接待费支出决算为0.10万元，完成预算的14.29%。2019年度“三公”经费支出决算数小于预算数的主要原因是严格贯彻落实中央八项规定精神，厉行节约。</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lastRenderedPageBreak/>
        <w:t>2019年度“三公”经费财政拨款支出决算数比2018年度减少4.19万元，降低39.45%，其中：因公出国（境）费支出决算持平；公务用车购置及运行维护费支出决算减少4.15万元，降低39.60%；公务接待费支出决算减少0.04万元，降低28.57%。公务用车购置及运行维护费支出减少的主要原因是2019年未购置公务用车。公务接待费支出减少的主要原因是严格贯彻落实中央八项规定精神，厉行节约。</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（二）“三公”经费财政拨款支出决算具体情况说明。</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2019年度“三公”经费财政拨款支出决算中，因公出国（境）费支出决算0.00万元，占0.00%；公务用车购置及运行维护费支出决算6.33万元，占98.44%；公务接待费支出决算0.10万元，占1.56%。具体情况如下：</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1、因公出国（境）费支出0.00万元。</w:t>
      </w:r>
      <w:r w:rsidR="000B3A0A">
        <w:rPr>
          <w:rFonts w:ascii="仿宋_GB2312" w:eastAsia="仿宋_GB2312" w:hAnsi="微软雅黑" w:cs="宋体" w:hint="eastAsia"/>
          <w:color w:val="333333"/>
          <w:kern w:val="0"/>
          <w:sz w:val="30"/>
          <w:szCs w:val="30"/>
        </w:rPr>
        <w:t>（因公出国（境）团组数0（</w:t>
      </w:r>
      <w:proofErr w:type="gramStart"/>
      <w:r w:rsidR="000B3A0A">
        <w:rPr>
          <w:rFonts w:ascii="仿宋_GB2312" w:eastAsia="仿宋_GB2312" w:hAnsi="微软雅黑" w:cs="宋体" w:hint="eastAsia"/>
          <w:color w:val="333333"/>
          <w:kern w:val="0"/>
          <w:sz w:val="30"/>
          <w:szCs w:val="30"/>
        </w:rPr>
        <w:t>个</w:t>
      </w:r>
      <w:proofErr w:type="gramEnd"/>
      <w:r w:rsidR="000B3A0A">
        <w:rPr>
          <w:rFonts w:ascii="仿宋_GB2312" w:eastAsia="仿宋_GB2312" w:hAnsi="微软雅黑" w:cs="宋体" w:hint="eastAsia"/>
          <w:color w:val="333333"/>
          <w:kern w:val="0"/>
          <w:sz w:val="30"/>
          <w:szCs w:val="30"/>
        </w:rPr>
        <w:t>），因公出国（境）人次数0（</w:t>
      </w:r>
      <w:proofErr w:type="gramStart"/>
      <w:r w:rsidR="000B3A0A">
        <w:rPr>
          <w:rFonts w:ascii="仿宋_GB2312" w:eastAsia="仿宋_GB2312" w:hAnsi="微软雅黑" w:cs="宋体" w:hint="eastAsia"/>
          <w:color w:val="333333"/>
          <w:kern w:val="0"/>
          <w:sz w:val="30"/>
          <w:szCs w:val="30"/>
        </w:rPr>
        <w:t>个</w:t>
      </w:r>
      <w:proofErr w:type="gramEnd"/>
      <w:r w:rsidR="000B3A0A">
        <w:rPr>
          <w:rFonts w:ascii="仿宋_GB2312" w:eastAsia="仿宋_GB2312" w:hAnsi="微软雅黑" w:cs="宋体" w:hint="eastAsia"/>
          <w:color w:val="333333"/>
          <w:kern w:val="0"/>
          <w:sz w:val="30"/>
          <w:szCs w:val="30"/>
        </w:rPr>
        <w:t>）。）</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2、公务用车购置及运行维护费支出6.33万元。其中：</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公务用车购置支出为0.00万元。</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Calibri" w:cs="Calibri"/>
          <w:color w:val="333333"/>
          <w:kern w:val="0"/>
          <w:sz w:val="30"/>
          <w:szCs w:val="30"/>
        </w:rPr>
        <w:t>公务用车运行维护支出</w:t>
      </w:r>
      <w:r w:rsidRPr="00020C01">
        <w:rPr>
          <w:rFonts w:ascii="仿宋_GB2312" w:eastAsia="仿宋_GB2312" w:hAnsi="微软雅黑" w:cs="宋体" w:hint="eastAsia"/>
          <w:color w:val="333333"/>
          <w:kern w:val="0"/>
          <w:sz w:val="30"/>
          <w:szCs w:val="30"/>
        </w:rPr>
        <w:t>6.33</w:t>
      </w:r>
      <w:r w:rsidRPr="00020C01">
        <w:rPr>
          <w:rFonts w:ascii="仿宋_GB2312" w:eastAsia="仿宋_GB2312" w:hAnsi="Calibri" w:cs="Calibri"/>
          <w:color w:val="333333"/>
          <w:kern w:val="0"/>
          <w:sz w:val="30"/>
          <w:szCs w:val="30"/>
        </w:rPr>
        <w:t>万元。</w:t>
      </w:r>
      <w:r w:rsidRPr="00020C01">
        <w:rPr>
          <w:rFonts w:ascii="仿宋_GB2312" w:eastAsia="仿宋_GB2312" w:hAnsi="微软雅黑" w:cs="宋体" w:hint="eastAsia"/>
          <w:color w:val="333333"/>
          <w:kern w:val="0"/>
          <w:sz w:val="30"/>
          <w:szCs w:val="30"/>
        </w:rPr>
        <w:t>主要用于公务车辆维修及加油费。</w:t>
      </w:r>
      <w:r w:rsidRPr="00020C01">
        <w:rPr>
          <w:rFonts w:ascii="Calibri" w:eastAsia="微软雅黑" w:hAnsi="Calibri" w:cs="Calibri"/>
          <w:color w:val="333333"/>
          <w:kern w:val="0"/>
          <w:sz w:val="30"/>
          <w:szCs w:val="30"/>
        </w:rPr>
        <w:t>2019</w:t>
      </w:r>
      <w:r w:rsidRPr="00020C01">
        <w:rPr>
          <w:rFonts w:ascii="仿宋_GB2312" w:eastAsia="仿宋_GB2312" w:hAnsi="Calibri" w:cs="Calibri"/>
          <w:color w:val="333333"/>
          <w:kern w:val="0"/>
          <w:sz w:val="30"/>
          <w:szCs w:val="30"/>
        </w:rPr>
        <w:t>年，上海市松江区应急管理局所属各预算单位开支财政拨款的公务用车保有量为</w:t>
      </w:r>
      <w:r w:rsidRPr="00020C01">
        <w:rPr>
          <w:rFonts w:ascii="仿宋_GB2312" w:eastAsia="仿宋_GB2312" w:hAnsi="微软雅黑" w:cs="宋体" w:hint="eastAsia"/>
          <w:color w:val="333333"/>
          <w:kern w:val="0"/>
          <w:sz w:val="30"/>
          <w:szCs w:val="30"/>
        </w:rPr>
        <w:t>3</w:t>
      </w:r>
      <w:r w:rsidRPr="00020C01">
        <w:rPr>
          <w:rFonts w:ascii="仿宋_GB2312" w:eastAsia="仿宋_GB2312" w:hAnsi="Calibri" w:cs="Calibri"/>
          <w:color w:val="333333"/>
          <w:kern w:val="0"/>
          <w:sz w:val="30"/>
          <w:szCs w:val="30"/>
        </w:rPr>
        <w:t>辆。</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3、公务接待费支出0.10万元。其中：</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国内公务接待支出0.10万（含外</w:t>
      </w:r>
      <w:r w:rsidR="000B3A0A">
        <w:rPr>
          <w:rFonts w:ascii="仿宋_GB2312" w:eastAsia="仿宋_GB2312" w:hAnsi="微软雅黑" w:cs="宋体" w:hint="eastAsia"/>
          <w:color w:val="333333"/>
          <w:kern w:val="0"/>
          <w:sz w:val="30"/>
          <w:szCs w:val="30"/>
        </w:rPr>
        <w:t>事</w:t>
      </w:r>
      <w:r w:rsidRPr="00020C01">
        <w:rPr>
          <w:rFonts w:ascii="仿宋_GB2312" w:eastAsia="仿宋_GB2312" w:hAnsi="微软雅黑" w:cs="宋体" w:hint="eastAsia"/>
          <w:color w:val="333333"/>
          <w:kern w:val="0"/>
          <w:sz w:val="30"/>
          <w:szCs w:val="30"/>
        </w:rPr>
        <w:t>接待支出0.00万元）。主要用于安全检查工作餐费，公务接待批次1批、人次</w:t>
      </w:r>
      <w:r w:rsidRPr="00020C01">
        <w:rPr>
          <w:rFonts w:ascii="仿宋_GB2312" w:eastAsia="仿宋_GB2312" w:hAnsi="微软雅黑" w:cs="宋体" w:hint="eastAsia"/>
          <w:color w:val="333333"/>
          <w:kern w:val="0"/>
          <w:sz w:val="30"/>
          <w:szCs w:val="30"/>
        </w:rPr>
        <w:lastRenderedPageBreak/>
        <w:t>20人，</w:t>
      </w:r>
      <w:r w:rsidR="00BC3AD7">
        <w:rPr>
          <w:rFonts w:ascii="仿宋_GB2312" w:eastAsia="仿宋_GB2312" w:hAnsi="微软雅黑" w:cs="宋体" w:hint="eastAsia"/>
          <w:color w:val="333333"/>
          <w:kern w:val="0"/>
          <w:sz w:val="30"/>
          <w:szCs w:val="30"/>
        </w:rPr>
        <w:t>外事接待人次0人，</w:t>
      </w:r>
      <w:r w:rsidRPr="00020C01">
        <w:rPr>
          <w:rFonts w:ascii="仿宋_GB2312" w:eastAsia="仿宋_GB2312" w:hAnsi="微软雅黑" w:cs="宋体" w:hint="eastAsia"/>
          <w:color w:val="333333"/>
          <w:kern w:val="0"/>
          <w:sz w:val="30"/>
          <w:szCs w:val="30"/>
        </w:rPr>
        <w:t>其中：</w:t>
      </w:r>
      <w:r w:rsidR="00BC3AD7">
        <w:rPr>
          <w:rFonts w:ascii="仿宋_GB2312" w:eastAsia="仿宋_GB2312" w:hAnsi="微软雅黑" w:cs="宋体" w:hint="eastAsia"/>
          <w:color w:val="333333"/>
          <w:kern w:val="0"/>
          <w:sz w:val="30"/>
          <w:szCs w:val="30"/>
        </w:rPr>
        <w:t>国（境）外公务接待</w:t>
      </w:r>
      <w:r w:rsidRPr="00020C01">
        <w:rPr>
          <w:rFonts w:ascii="仿宋_GB2312" w:eastAsia="仿宋_GB2312" w:hAnsi="微软雅黑" w:cs="宋体" w:hint="eastAsia"/>
          <w:color w:val="333333"/>
          <w:kern w:val="0"/>
          <w:sz w:val="30"/>
          <w:szCs w:val="30"/>
        </w:rPr>
        <w:t>批次0次、</w:t>
      </w:r>
      <w:r w:rsidR="00BC3AD7">
        <w:rPr>
          <w:rFonts w:ascii="仿宋_GB2312" w:eastAsia="仿宋_GB2312" w:hAnsi="微软雅黑" w:cs="宋体" w:hint="eastAsia"/>
          <w:color w:val="333333"/>
          <w:kern w:val="0"/>
          <w:sz w:val="30"/>
          <w:szCs w:val="30"/>
        </w:rPr>
        <w:t>国（境）外公务接待</w:t>
      </w:r>
      <w:r w:rsidRPr="00020C01">
        <w:rPr>
          <w:rFonts w:ascii="仿宋_GB2312" w:eastAsia="仿宋_GB2312" w:hAnsi="微软雅黑" w:cs="宋体" w:hint="eastAsia"/>
          <w:color w:val="333333"/>
          <w:kern w:val="0"/>
          <w:sz w:val="30"/>
          <w:szCs w:val="30"/>
        </w:rPr>
        <w:t>人次0人。</w:t>
      </w:r>
      <w:r w:rsidR="000B3A0A">
        <w:rPr>
          <w:rFonts w:ascii="仿宋_GB2312" w:eastAsia="仿宋_GB2312" w:hAnsi="微软雅黑" w:cs="宋体" w:hint="eastAsia"/>
          <w:color w:val="333333"/>
          <w:kern w:val="0"/>
          <w:sz w:val="30"/>
          <w:szCs w:val="30"/>
        </w:rPr>
        <w:t>）</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八、关于上海市松江区应急管理局2019年度政府性基金预算财政拨款支出决算情况说明</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上海市松江区应急管理局2019年度无政府性基金预算财政拨款支出。</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九、国有资本经营预算财政拨款情况说明</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上海市松江区应急管理局2019年度无国有资本经营预算财政拨款支出。</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十、其他重要事项的情况说明</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（一）机关运行经费支出情况</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上海市松江区应急管理局2019年度机关运行经费支出25.31万元，比2018年度增加8.91万元，增长54.33%。主要原因是人员增加和会计科目调整。</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（二）政府采购支出情况</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Times New Roman" w:cs="Times New Roman"/>
          <w:color w:val="333333"/>
          <w:kern w:val="0"/>
          <w:sz w:val="30"/>
          <w:szCs w:val="30"/>
        </w:rPr>
        <w:t>上海市松江区应急管理局</w:t>
      </w:r>
      <w:r w:rsidRPr="00020C01">
        <w:rPr>
          <w:rFonts w:ascii="仿宋_GB2312" w:eastAsia="仿宋_GB2312" w:hAnsi="微软雅黑" w:cs="宋体" w:hint="eastAsia"/>
          <w:color w:val="333333"/>
          <w:kern w:val="0"/>
          <w:sz w:val="30"/>
          <w:szCs w:val="30"/>
        </w:rPr>
        <w:t>2019年度政府采购金额（以合同签订为准）为165.14万元，其中：货物采购金额7.64万元、工程采购金额0.00万元、服务采购金额157.50万元。</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2019年度本部门面向中小企业预留政府采购项目预算金额165.14万元，面向小</w:t>
      </w:r>
      <w:proofErr w:type="gramStart"/>
      <w:r w:rsidRPr="00020C01">
        <w:rPr>
          <w:rFonts w:ascii="仿宋_GB2312" w:eastAsia="仿宋_GB2312" w:hAnsi="微软雅黑" w:cs="宋体" w:hint="eastAsia"/>
          <w:color w:val="333333"/>
          <w:kern w:val="0"/>
          <w:sz w:val="30"/>
          <w:szCs w:val="30"/>
        </w:rPr>
        <w:t>微企业</w:t>
      </w:r>
      <w:proofErr w:type="gramEnd"/>
      <w:r w:rsidRPr="00020C01">
        <w:rPr>
          <w:rFonts w:ascii="仿宋_GB2312" w:eastAsia="仿宋_GB2312" w:hAnsi="微软雅黑" w:cs="宋体" w:hint="eastAsia"/>
          <w:color w:val="333333"/>
          <w:kern w:val="0"/>
          <w:sz w:val="30"/>
          <w:szCs w:val="30"/>
        </w:rPr>
        <w:t>预留政府采购项目预算金额165.14万元。在面向中小企业预留的政府采购项目中，由中小企业供应商中标或成交的，采购金额165.14万元；在面向小</w:t>
      </w:r>
      <w:proofErr w:type="gramStart"/>
      <w:r w:rsidRPr="00020C01">
        <w:rPr>
          <w:rFonts w:ascii="仿宋_GB2312" w:eastAsia="仿宋_GB2312" w:hAnsi="微软雅黑" w:cs="宋体" w:hint="eastAsia"/>
          <w:color w:val="333333"/>
          <w:kern w:val="0"/>
          <w:sz w:val="30"/>
          <w:szCs w:val="30"/>
        </w:rPr>
        <w:t>微企业</w:t>
      </w:r>
      <w:proofErr w:type="gramEnd"/>
      <w:r w:rsidRPr="00020C01">
        <w:rPr>
          <w:rFonts w:ascii="仿宋_GB2312" w:eastAsia="仿宋_GB2312" w:hAnsi="微软雅黑" w:cs="宋体" w:hint="eastAsia"/>
          <w:color w:val="333333"/>
          <w:kern w:val="0"/>
          <w:sz w:val="30"/>
          <w:szCs w:val="30"/>
        </w:rPr>
        <w:t>预</w:t>
      </w:r>
      <w:r w:rsidRPr="00020C01">
        <w:rPr>
          <w:rFonts w:ascii="仿宋_GB2312" w:eastAsia="仿宋_GB2312" w:hAnsi="微软雅黑" w:cs="宋体" w:hint="eastAsia"/>
          <w:color w:val="333333"/>
          <w:kern w:val="0"/>
          <w:sz w:val="30"/>
          <w:szCs w:val="30"/>
        </w:rPr>
        <w:lastRenderedPageBreak/>
        <w:t>留政府采购项目中，由小</w:t>
      </w:r>
      <w:proofErr w:type="gramStart"/>
      <w:r w:rsidRPr="00020C01">
        <w:rPr>
          <w:rFonts w:ascii="仿宋_GB2312" w:eastAsia="仿宋_GB2312" w:hAnsi="微软雅黑" w:cs="宋体" w:hint="eastAsia"/>
          <w:color w:val="333333"/>
          <w:kern w:val="0"/>
          <w:sz w:val="30"/>
          <w:szCs w:val="30"/>
        </w:rPr>
        <w:t>微企业</w:t>
      </w:r>
      <w:proofErr w:type="gramEnd"/>
      <w:r w:rsidRPr="00020C01">
        <w:rPr>
          <w:rFonts w:ascii="仿宋_GB2312" w:eastAsia="仿宋_GB2312" w:hAnsi="微软雅黑" w:cs="宋体" w:hint="eastAsia"/>
          <w:color w:val="333333"/>
          <w:kern w:val="0"/>
          <w:sz w:val="30"/>
          <w:szCs w:val="30"/>
        </w:rPr>
        <w:t>供应商中标或成交的，采购金额165.14万元；在其他政府采购项目中，由中小企业供应商中标或成交的，采购金额0.00万元。</w:t>
      </w:r>
    </w:p>
    <w:p w:rsidR="00020C01" w:rsidRPr="00020C01" w:rsidRDefault="00020C01" w:rsidP="00020C01">
      <w:pPr>
        <w:widowControl/>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（三）车辆、房屋特殊占用情况</w:t>
      </w:r>
    </w:p>
    <w:p w:rsidR="00020C01" w:rsidRPr="00020C01" w:rsidRDefault="00020C01" w:rsidP="00020C01">
      <w:pPr>
        <w:widowControl/>
        <w:spacing w:line="570" w:lineRule="atLeast"/>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上海市松江区应急管理局2019年度</w:t>
      </w:r>
      <w:r w:rsidR="00461513" w:rsidRPr="00020C01">
        <w:rPr>
          <w:rFonts w:ascii="仿宋_GB2312" w:eastAsia="仿宋_GB2312" w:hAnsi="Calibri" w:cs="Calibri"/>
          <w:color w:val="333333"/>
          <w:kern w:val="0"/>
          <w:sz w:val="30"/>
          <w:szCs w:val="30"/>
        </w:rPr>
        <w:t>公务用车保有量为</w:t>
      </w:r>
      <w:r w:rsidR="00461513" w:rsidRPr="00020C01">
        <w:rPr>
          <w:rFonts w:ascii="仿宋_GB2312" w:eastAsia="仿宋_GB2312" w:hAnsi="微软雅黑" w:cs="宋体" w:hint="eastAsia"/>
          <w:color w:val="333333"/>
          <w:kern w:val="0"/>
          <w:sz w:val="30"/>
          <w:szCs w:val="30"/>
        </w:rPr>
        <w:t>3</w:t>
      </w:r>
      <w:r w:rsidR="00461513" w:rsidRPr="00020C01">
        <w:rPr>
          <w:rFonts w:ascii="仿宋_GB2312" w:eastAsia="仿宋_GB2312" w:hAnsi="Calibri" w:cs="Calibri"/>
          <w:color w:val="333333"/>
          <w:kern w:val="0"/>
          <w:sz w:val="30"/>
          <w:szCs w:val="30"/>
        </w:rPr>
        <w:t>辆</w:t>
      </w:r>
      <w:r w:rsidRPr="00020C01">
        <w:rPr>
          <w:rFonts w:ascii="仿宋_GB2312" w:eastAsia="仿宋_GB2312" w:hAnsi="微软雅黑" w:cs="宋体" w:hint="eastAsia"/>
          <w:color w:val="333333"/>
          <w:kern w:val="0"/>
          <w:sz w:val="30"/>
          <w:szCs w:val="30"/>
        </w:rPr>
        <w:t>。</w:t>
      </w:r>
    </w:p>
    <w:p w:rsidR="00020C01" w:rsidRPr="00020C01" w:rsidRDefault="00020C01" w:rsidP="00020C01">
      <w:pPr>
        <w:widowControl/>
        <w:spacing w:line="570" w:lineRule="atLeast"/>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截至2019年12月31日，上海市松江区应急管理局使用的房屋中由区机关事务管理局统一调配的其他部门（单位）产权的房屋为378平方米。</w:t>
      </w:r>
    </w:p>
    <w:p w:rsidR="00020C01" w:rsidRPr="00020C01" w:rsidRDefault="00020C01" w:rsidP="00020C01">
      <w:pPr>
        <w:widowControl/>
        <w:spacing w:line="570" w:lineRule="atLeast"/>
        <w:ind w:firstLine="602"/>
        <w:jc w:val="left"/>
        <w:rPr>
          <w:rFonts w:ascii="微软雅黑" w:eastAsia="微软雅黑" w:hAnsi="微软雅黑" w:cs="宋体"/>
          <w:color w:val="333333"/>
          <w:kern w:val="0"/>
          <w:szCs w:val="21"/>
        </w:rPr>
      </w:pPr>
      <w:r w:rsidRPr="00020C01">
        <w:rPr>
          <w:rFonts w:ascii="楷体_GB2312" w:eastAsia="楷体_GB2312" w:hAnsi="微软雅黑" w:cs="宋体" w:hint="eastAsia"/>
          <w:b/>
          <w:bCs/>
          <w:color w:val="333333"/>
          <w:kern w:val="0"/>
          <w:sz w:val="30"/>
          <w:szCs w:val="30"/>
        </w:rPr>
        <w:t>（四）预算绩效管理情况</w:t>
      </w:r>
    </w:p>
    <w:p w:rsidR="00020C01" w:rsidRPr="00020C01" w:rsidRDefault="00020C01" w:rsidP="00020C01">
      <w:pPr>
        <w:widowControl/>
        <w:ind w:firstLine="600"/>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上海市松江区应急管理局2019年度预算绩效管理工作开展情况如下:</w:t>
      </w:r>
      <w:r w:rsidRPr="00020C01">
        <w:rPr>
          <w:rFonts w:ascii="仿宋_GB2312" w:eastAsia="仿宋_GB2312" w:hAnsi="微软雅黑" w:cs="宋体" w:hint="eastAsia"/>
          <w:color w:val="000000"/>
          <w:kern w:val="0"/>
          <w:sz w:val="30"/>
          <w:szCs w:val="30"/>
          <w:shd w:val="clear" w:color="auto" w:fill="FFFFFF"/>
        </w:rPr>
        <w:t>本单位未建立预算绩效管理制度，未建立预算绩效管理工作机制；</w:t>
      </w:r>
      <w:r w:rsidRPr="00020C01">
        <w:rPr>
          <w:rFonts w:ascii="仿宋_GB2312" w:eastAsia="仿宋_GB2312" w:hAnsi="微软雅黑" w:cs="宋体" w:hint="eastAsia"/>
          <w:color w:val="333333"/>
          <w:kern w:val="0"/>
          <w:sz w:val="30"/>
          <w:szCs w:val="30"/>
        </w:rPr>
        <w:t>全过程绩效管理实施情况：编报绩效目标的2019年度项目10个，涉及预算金额466.18万元；绩效跟踪评价的2019年度项目10个，涉及预算金额466.18万元；绩效自评的2019年度项目11个，涉及预算金额369.07万元，平均得分90分（其中，绩效评级为“优”的项目6个；绩效评级为“良”的项目5个；绩效评级为“合格”的项目0个；绩效评级为“不合格”的项目0个。</w:t>
      </w:r>
    </w:p>
    <w:p w:rsidR="00020C01" w:rsidRPr="00020C01" w:rsidRDefault="00020C01" w:rsidP="00020C01">
      <w:pPr>
        <w:widowControl/>
        <w:ind w:firstLine="600"/>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88"/>
        <w:gridCol w:w="1547"/>
        <w:gridCol w:w="595"/>
        <w:gridCol w:w="2024"/>
        <w:gridCol w:w="14"/>
        <w:gridCol w:w="2036"/>
        <w:gridCol w:w="200"/>
        <w:gridCol w:w="201"/>
        <w:gridCol w:w="242"/>
        <w:gridCol w:w="242"/>
        <w:gridCol w:w="205"/>
        <w:gridCol w:w="204"/>
      </w:tblGrid>
      <w:tr w:rsidR="00020C01" w:rsidRPr="00020C01" w:rsidTr="00020C01">
        <w:trPr>
          <w:trHeight w:val="285"/>
        </w:trPr>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4"/>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r>
      <w:tr w:rsidR="00020C01" w:rsidRPr="00020C01" w:rsidTr="00020C01">
        <w:trPr>
          <w:trHeight w:val="375"/>
        </w:trPr>
        <w:tc>
          <w:tcPr>
            <w:tcW w:w="0" w:type="auto"/>
            <w:gridSpan w:val="12"/>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b/>
                <w:bCs/>
                <w:color w:val="000000"/>
                <w:kern w:val="0"/>
                <w:sz w:val="28"/>
                <w:szCs w:val="28"/>
              </w:rPr>
              <w:t>2019年度财政项目绩效</w:t>
            </w:r>
            <w:proofErr w:type="gramStart"/>
            <w:r w:rsidRPr="00020C01">
              <w:rPr>
                <w:rFonts w:ascii="宋体" w:eastAsia="宋体" w:hAnsi="宋体" w:cs="宋体" w:hint="eastAsia"/>
                <w:b/>
                <w:bCs/>
                <w:color w:val="000000"/>
                <w:kern w:val="0"/>
                <w:sz w:val="28"/>
                <w:szCs w:val="28"/>
              </w:rPr>
              <w:t>自评价</w:t>
            </w:r>
            <w:proofErr w:type="gramEnd"/>
          </w:p>
        </w:tc>
      </w:tr>
      <w:tr w:rsidR="00020C01" w:rsidRPr="00020C01" w:rsidTr="00020C01">
        <w:trPr>
          <w:trHeight w:val="285"/>
        </w:trPr>
        <w:tc>
          <w:tcPr>
            <w:tcW w:w="0" w:type="auto"/>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项目名称：</w:t>
            </w:r>
          </w:p>
        </w:tc>
        <w:tc>
          <w:tcPr>
            <w:tcW w:w="0" w:type="auto"/>
            <w:gridSpan w:val="2"/>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安全监督</w:t>
            </w:r>
          </w:p>
        </w:tc>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w:t>
            </w:r>
          </w:p>
        </w:tc>
        <w:tc>
          <w:tcPr>
            <w:tcW w:w="0" w:type="auto"/>
            <w:gridSpan w:val="4"/>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r>
      <w:tr w:rsidR="00020C01" w:rsidRPr="00020C01" w:rsidTr="00020C01">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主管部门</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上海市松江区应急管理局</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预算单位</w:t>
            </w:r>
          </w:p>
        </w:tc>
        <w:tc>
          <w:tcPr>
            <w:tcW w:w="0" w:type="auto"/>
            <w:gridSpan w:val="8"/>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上海市松江区应急管理局</w:t>
            </w:r>
          </w:p>
        </w:tc>
      </w:tr>
      <w:tr w:rsidR="00020C01" w:rsidRPr="00020C01" w:rsidTr="00020C01">
        <w:trPr>
          <w:trHeight w:val="285"/>
        </w:trPr>
        <w:tc>
          <w:tcPr>
            <w:tcW w:w="0" w:type="auto"/>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当年预算</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566950</w:t>
            </w:r>
          </w:p>
        </w:tc>
        <w:tc>
          <w:tcPr>
            <w:tcW w:w="0" w:type="auto"/>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上年预算</w:t>
            </w:r>
          </w:p>
        </w:tc>
        <w:tc>
          <w:tcPr>
            <w:tcW w:w="0" w:type="auto"/>
            <w:gridSpan w:val="4"/>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608000</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是否为经常性项目</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否</w:t>
            </w:r>
          </w:p>
        </w:tc>
      </w:tr>
      <w:tr w:rsidR="00020C01" w:rsidRPr="00020C01" w:rsidTr="00020C01">
        <w:trPr>
          <w:trHeight w:val="28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金额(元)</w:t>
            </w:r>
          </w:p>
        </w:tc>
        <w:tc>
          <w:tcPr>
            <w:tcW w:w="0" w:type="auto"/>
            <w:gridSpan w:val="2"/>
            <w:vMerge/>
            <w:tcBorders>
              <w:top w:val="nil"/>
              <w:left w:val="single" w:sz="8" w:space="0" w:color="000000"/>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金额(元)</w:t>
            </w:r>
          </w:p>
        </w:tc>
        <w:tc>
          <w:tcPr>
            <w:tcW w:w="0" w:type="auto"/>
            <w:gridSpan w:val="4"/>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020C01">
        <w:trPr>
          <w:trHeight w:val="285"/>
        </w:trPr>
        <w:tc>
          <w:tcPr>
            <w:tcW w:w="0" w:type="auto"/>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当年执行</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566950</w:t>
            </w:r>
          </w:p>
        </w:tc>
        <w:tc>
          <w:tcPr>
            <w:tcW w:w="0" w:type="auto"/>
            <w:vMerge w:val="restart"/>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执行率</w:t>
            </w:r>
          </w:p>
        </w:tc>
        <w:tc>
          <w:tcPr>
            <w:tcW w:w="0" w:type="auto"/>
            <w:gridSpan w:val="8"/>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100.0%</w:t>
            </w:r>
          </w:p>
        </w:tc>
      </w:tr>
      <w:tr w:rsidR="00020C01" w:rsidRPr="00020C01" w:rsidTr="00020C01">
        <w:trPr>
          <w:trHeight w:val="28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金额(元)</w:t>
            </w:r>
          </w:p>
        </w:tc>
        <w:tc>
          <w:tcPr>
            <w:tcW w:w="0" w:type="auto"/>
            <w:gridSpan w:val="2"/>
            <w:vMerge/>
            <w:tcBorders>
              <w:top w:val="nil"/>
              <w:left w:val="single" w:sz="8" w:space="0" w:color="000000"/>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nil"/>
              <w:left w:val="nil"/>
              <w:bottom w:val="nil"/>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8"/>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r>
      <w:tr w:rsidR="00020C01" w:rsidRPr="00020C01" w:rsidTr="00020C01">
        <w:trPr>
          <w:trHeight w:val="285"/>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自评时间</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2020-05-06</w:t>
            </w:r>
          </w:p>
        </w:tc>
        <w:tc>
          <w:tcPr>
            <w:tcW w:w="0" w:type="auto"/>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自评结果</w:t>
            </w:r>
          </w:p>
        </w:tc>
        <w:tc>
          <w:tcPr>
            <w:tcW w:w="0" w:type="auto"/>
            <w:gridSpan w:val="4"/>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自评分：91分</w:t>
            </w:r>
          </w:p>
        </w:tc>
        <w:tc>
          <w:tcPr>
            <w:tcW w:w="0" w:type="auto"/>
            <w:gridSpan w:val="4"/>
            <w:tcBorders>
              <w:top w:val="single" w:sz="8" w:space="0" w:color="000000"/>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285"/>
        </w:trPr>
        <w:tc>
          <w:tcPr>
            <w:tcW w:w="0" w:type="auto"/>
            <w:vMerge/>
            <w:tcBorders>
              <w:top w:val="nil"/>
              <w:left w:val="single" w:sz="8" w:space="0" w:color="000000"/>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8"/>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绩效等级：优</w:t>
            </w:r>
          </w:p>
        </w:tc>
      </w:tr>
      <w:tr w:rsidR="00020C01" w:rsidRPr="00020C01" w:rsidTr="00020C01">
        <w:trPr>
          <w:trHeight w:val="795"/>
        </w:trPr>
        <w:tc>
          <w:tcPr>
            <w:tcW w:w="0" w:type="auto"/>
            <w:gridSpan w:val="3"/>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主要绩效（重点就预算执行、项目管理、产出完成、效果体现等方面简要描述）</w:t>
            </w:r>
          </w:p>
        </w:tc>
        <w:tc>
          <w:tcPr>
            <w:tcW w:w="0" w:type="auto"/>
            <w:gridSpan w:val="5"/>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主要问题（针对扣分指标予以归纳）</w:t>
            </w:r>
          </w:p>
        </w:tc>
        <w:tc>
          <w:tcPr>
            <w:tcW w:w="0" w:type="auto"/>
            <w:gridSpan w:val="4"/>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改进措施（针对问题分别提出，包括时间节点）</w:t>
            </w:r>
          </w:p>
        </w:tc>
      </w:tr>
      <w:tr w:rsidR="00020C01" w:rsidRPr="00020C01" w:rsidTr="00020C01">
        <w:trPr>
          <w:trHeight w:val="1395"/>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根据《应急管理部关于全面实施危险化学品企业安全风险研判与承诺公告制度的通知》和市应急管理局工作要求，开展对我区所有危化生产、储存、经营企业安全风险评估诊断分级工作和“一张图一张表”建设。经诊断评分分级，我区生产储存企业存在蓝色安全风险企业10家，存在黄色安全风险企业22家。开展工贸企业有限空间作业条件确认工作，借助第三方机构力量对2018年排查出的208家单位进行专门的辨识和指导。</w:t>
            </w:r>
          </w:p>
        </w:tc>
        <w:tc>
          <w:tcPr>
            <w:tcW w:w="0" w:type="auto"/>
            <w:gridSpan w:val="5"/>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预算避免集中在三、四季度完成执行。</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加强预算执行力度，按照财政要求，分季度完成指标。</w:t>
            </w:r>
          </w:p>
        </w:tc>
      </w:tr>
      <w:tr w:rsidR="00020C01" w:rsidRPr="00020C01" w:rsidTr="00020C01">
        <w:trPr>
          <w:trHeight w:val="285"/>
        </w:trPr>
        <w:tc>
          <w:tcPr>
            <w:tcW w:w="0" w:type="auto"/>
            <w:gridSpan w:val="12"/>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项目年度总目标</w:t>
            </w:r>
          </w:p>
        </w:tc>
      </w:tr>
      <w:tr w:rsidR="00020C01" w:rsidRPr="00020C01" w:rsidTr="00020C01">
        <w:trPr>
          <w:trHeight w:val="630"/>
        </w:trPr>
        <w:tc>
          <w:tcPr>
            <w:tcW w:w="0" w:type="auto"/>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通过执法监督和委托第三</w:t>
            </w:r>
            <w:proofErr w:type="gramStart"/>
            <w:r w:rsidRPr="00020C01">
              <w:rPr>
                <w:rFonts w:ascii="宋体" w:eastAsia="宋体" w:hAnsi="宋体" w:cs="宋体" w:hint="eastAsia"/>
                <w:color w:val="000000"/>
                <w:kern w:val="0"/>
                <w:sz w:val="18"/>
                <w:szCs w:val="18"/>
              </w:rPr>
              <w:t>方专业</w:t>
            </w:r>
            <w:proofErr w:type="gramEnd"/>
            <w:r w:rsidRPr="00020C01">
              <w:rPr>
                <w:rFonts w:ascii="宋体" w:eastAsia="宋体" w:hAnsi="宋体" w:cs="宋体" w:hint="eastAsia"/>
                <w:color w:val="000000"/>
                <w:kern w:val="0"/>
                <w:sz w:val="18"/>
                <w:szCs w:val="18"/>
              </w:rPr>
              <w:t>机构，进一步加强对我区危险化学品重大危险源、液氯液氨使用和化工企业的安全风险分级诊断，督促企业认真辨识安全风险点，完善更新安全诊断书并上报</w:t>
            </w:r>
            <w:proofErr w:type="gramStart"/>
            <w:r w:rsidRPr="00020C01">
              <w:rPr>
                <w:rFonts w:ascii="宋体" w:eastAsia="宋体" w:hAnsi="宋体" w:cs="宋体" w:hint="eastAsia"/>
                <w:color w:val="000000"/>
                <w:kern w:val="0"/>
                <w:sz w:val="18"/>
                <w:szCs w:val="18"/>
              </w:rPr>
              <w:t>至信息</w:t>
            </w:r>
            <w:proofErr w:type="gramEnd"/>
            <w:r w:rsidRPr="00020C01">
              <w:rPr>
                <w:rFonts w:ascii="宋体" w:eastAsia="宋体" w:hAnsi="宋体" w:cs="宋体" w:hint="eastAsia"/>
                <w:color w:val="000000"/>
                <w:kern w:val="0"/>
                <w:sz w:val="18"/>
                <w:szCs w:val="18"/>
              </w:rPr>
              <w:t>平台，并完成每月的报送工作。</w:t>
            </w:r>
          </w:p>
        </w:tc>
      </w:tr>
      <w:tr w:rsidR="00020C01" w:rsidRPr="00020C01" w:rsidTr="00020C01">
        <w:trPr>
          <w:trHeight w:val="285"/>
        </w:trPr>
        <w:tc>
          <w:tcPr>
            <w:tcW w:w="0" w:type="auto"/>
            <w:gridSpan w:val="1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b/>
                <w:bCs/>
                <w:color w:val="000000"/>
                <w:kern w:val="0"/>
                <w:sz w:val="18"/>
                <w:szCs w:val="18"/>
              </w:rPr>
              <w:t>主要评价指标（对照经审核过的项目绩效目标）</w:t>
            </w:r>
          </w:p>
        </w:tc>
      </w:tr>
      <w:tr w:rsidR="00020C01" w:rsidRPr="00020C01" w:rsidTr="00020C01">
        <w:trPr>
          <w:trHeight w:val="28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指标名称</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指标解释</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权重</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评分规则</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自评分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备注</w:t>
            </w:r>
          </w:p>
        </w:tc>
      </w:tr>
      <w:tr w:rsidR="00020C01" w:rsidRPr="00020C01" w:rsidTr="00020C01">
        <w:trPr>
          <w:trHeight w:val="285"/>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总分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100</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91</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90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一、项目设立的规范性</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项目的申请、设立过程是否符合相关要求，用以反映和考核项目立项的规范情况。</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"①项目是否与本部门（单位）职责密切相关；（1分）②项目是否符合部门（单位）年度目标和年度计划；(2分）③项目是否经过本部门（单位）预算评审；（2分）"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202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二、绩效目标合理性</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项目所设定的绩效目标是否依据充分，是否符合客观实际，绩效目标与预算是否匹配。</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是否随同项目预算同时设置和报送绩效目标（1分）②绩效目标是否与项目预算相匹配;（2分）③是否将项目绩效目标细化分解为具体的绩效指标和指标值;（1分）④项目预算编制是否细化和量化（主要体现为依据充分、流程合</w:t>
            </w:r>
            <w:proofErr w:type="gramStart"/>
            <w:r w:rsidRPr="00020C01">
              <w:rPr>
                <w:rFonts w:ascii="宋体" w:eastAsia="宋体" w:hAnsi="宋体" w:cs="宋体" w:hint="eastAsia"/>
                <w:color w:val="000000"/>
                <w:kern w:val="0"/>
                <w:sz w:val="18"/>
                <w:szCs w:val="18"/>
              </w:rPr>
              <w:t>规</w:t>
            </w:r>
            <w:proofErr w:type="gramEnd"/>
            <w:r w:rsidRPr="00020C01">
              <w:rPr>
                <w:rFonts w:ascii="宋体" w:eastAsia="宋体" w:hAnsi="宋体" w:cs="宋体" w:hint="eastAsia"/>
                <w:color w:val="000000"/>
                <w:kern w:val="0"/>
                <w:sz w:val="18"/>
                <w:szCs w:val="18"/>
              </w:rPr>
              <w:t>、数量合适、单价合理、）（4分）    其中：科学细化量化的得4分，基本细化量化的得2分，未细化量化的不得分。"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675"/>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三、预算执行率和资金使用的合</w:t>
            </w:r>
            <w:proofErr w:type="gramStart"/>
            <w:r w:rsidRPr="00020C01">
              <w:rPr>
                <w:rFonts w:ascii="宋体" w:eastAsia="宋体" w:hAnsi="宋体" w:cs="宋体" w:hint="eastAsia"/>
                <w:color w:val="000000"/>
                <w:kern w:val="0"/>
                <w:sz w:val="18"/>
                <w:szCs w:val="18"/>
              </w:rPr>
              <w:t>规</w:t>
            </w:r>
            <w:proofErr w:type="gramEnd"/>
            <w:r w:rsidRPr="00020C01">
              <w:rPr>
                <w:rFonts w:ascii="宋体" w:eastAsia="宋体" w:hAnsi="宋体" w:cs="宋体" w:hint="eastAsia"/>
                <w:color w:val="000000"/>
                <w:kern w:val="0"/>
                <w:sz w:val="18"/>
                <w:szCs w:val="18"/>
              </w:rPr>
              <w:t>性</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反映项目预算执行的进度。</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预算执行率在75%及以上的按公式计算：预算执行率得分=实际预算执行率/100%×8；完成率在75%以下的不得分。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1800"/>
        </w:trPr>
        <w:tc>
          <w:tcPr>
            <w:tcW w:w="0" w:type="auto"/>
            <w:vMerge/>
            <w:tcBorders>
              <w:top w:val="nil"/>
              <w:left w:val="single" w:sz="8" w:space="0" w:color="000000"/>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反映项目资金使用是否符合相关法律法规、制度和规定，项目资金使用是否规范和安全。</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6</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资金使用是否符合国家财经法规、财政管理改革要求、财务管理制度，以及有关专项资金管理办法的规定。（包括公务卡、“三公”经费、政府采购等）；（3分）②资金的拨付是否有完整的审批程序和手续；（1分）③是否符合项目预算批复或合同规定的用途；</w:t>
            </w:r>
            <w:r w:rsidRPr="00020C01">
              <w:rPr>
                <w:rFonts w:ascii="宋体" w:eastAsia="宋体" w:hAnsi="宋体" w:cs="宋体" w:hint="eastAsia"/>
                <w:color w:val="000000"/>
                <w:kern w:val="0"/>
                <w:sz w:val="18"/>
                <w:szCs w:val="18"/>
              </w:rPr>
              <w:lastRenderedPageBreak/>
              <w:t>（1分）④资金使用是否执行预算管理改革的相关要求（1分）"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180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四、财务（资产）管理制度的健全性和执行的有效性</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项目的财务制度是否健全、完善、有效，用以反映和考核财务管理制度对资金规范、安全运行的保障情况，以及反映和考核项目实施单位对资金运行的控制情况。</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是否已制定或具有相应的项目资金（资产）管理办法；(1分）②项目资金管理办法是否符合相关财务会计制度的规定。（1分）③是否已制定或具有相应的监控机制；（1分）④是否采取了相应的财务检查等必要的监控措施或手段；（1分）⑤是否按项目进行成本核算，开展必要的项目成本控制。（1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135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五、项目管理制度的健全性和执行的有效性</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与项目直接相关的业务管理制度是否健全、完善和有效，项目实施是否符合相关业务管理规定，是否为达到项目质量要求而采取了必需的措施。</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4</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是否已制定或具有科学合理的业务管理制度；（1分）②项目调整及支出调整手续是否完备；（1分）③项目合同书、验收报告、技术鉴定等资料是否齐全;（1分）④是否采取了有效的项目推进、质量检查、验收等必需的控制措施或手段。（1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4</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67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六、实际完成率（产出数量）</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项目实施的实际产出数量与计划产出数量的比率，用以反映和考核项目产出数量目标的实现程度。（对照项目具体绩效目标和指标）</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12</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实际完成率在60%及以上的按公式计算：实际完成率得分=</w:t>
            </w:r>
            <w:proofErr w:type="gramStart"/>
            <w:r w:rsidRPr="00020C01">
              <w:rPr>
                <w:rFonts w:ascii="宋体" w:eastAsia="宋体" w:hAnsi="宋体" w:cs="宋体" w:hint="eastAsia"/>
                <w:color w:val="000000"/>
                <w:kern w:val="0"/>
                <w:sz w:val="18"/>
                <w:szCs w:val="18"/>
              </w:rPr>
              <w:t>实际完率</w:t>
            </w:r>
            <w:proofErr w:type="gramEnd"/>
            <w:r w:rsidRPr="00020C01">
              <w:rPr>
                <w:rFonts w:ascii="宋体" w:eastAsia="宋体" w:hAnsi="宋体" w:cs="宋体" w:hint="eastAsia"/>
                <w:color w:val="000000"/>
                <w:kern w:val="0"/>
                <w:sz w:val="18"/>
                <w:szCs w:val="18"/>
              </w:rPr>
              <w:t>/100%×12；完成率在60%以下的不得分。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67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七、完成及时率（产出时效）</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项目实际完成时限与项目计划完成时限的比例，用以反映项目完成的及时程度。（对照项目具体绩效目标和指标）</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10</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完成及时率在60%及以上的按公式计算：完成及时率得分=实际完成及时率/100%×10；及时率在60%以下的不得分。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67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八、质量</w:t>
            </w:r>
            <w:r w:rsidRPr="00020C01">
              <w:rPr>
                <w:rFonts w:ascii="宋体" w:eastAsia="宋体" w:hAnsi="宋体" w:cs="宋体" w:hint="eastAsia"/>
                <w:color w:val="000000"/>
                <w:kern w:val="0"/>
                <w:sz w:val="18"/>
                <w:szCs w:val="18"/>
              </w:rPr>
              <w:lastRenderedPageBreak/>
              <w:t>达标率（产出质量）</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项目完成的质量达标产出数与实际产出数的比</w:t>
            </w:r>
            <w:r w:rsidRPr="00020C01">
              <w:rPr>
                <w:rFonts w:ascii="宋体" w:eastAsia="宋体" w:hAnsi="宋体" w:cs="宋体" w:hint="eastAsia"/>
                <w:color w:val="000000"/>
                <w:kern w:val="0"/>
                <w:sz w:val="18"/>
                <w:szCs w:val="18"/>
              </w:rPr>
              <w:lastRenderedPageBreak/>
              <w:t>率，用以反映和考核项目产出的质量状况（对照项目具体绩效目标和指标）</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12</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质量达标率在60%及以上的按公式计算：达标率得分=</w:t>
            </w:r>
            <w:r w:rsidRPr="00020C01">
              <w:rPr>
                <w:rFonts w:ascii="宋体" w:eastAsia="宋体" w:hAnsi="宋体" w:cs="宋体" w:hint="eastAsia"/>
                <w:color w:val="000000"/>
                <w:kern w:val="0"/>
                <w:sz w:val="18"/>
                <w:szCs w:val="18"/>
              </w:rPr>
              <w:lastRenderedPageBreak/>
              <w:t>实际达标率/100%×12；达标率在60%以下的不得分。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135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九、效果达标率</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项目实施是否解决了项目设立时要解决的问题和</w:t>
            </w:r>
            <w:proofErr w:type="gramStart"/>
            <w:r w:rsidRPr="00020C01">
              <w:rPr>
                <w:rFonts w:ascii="宋体" w:eastAsia="宋体" w:hAnsi="宋体" w:cs="宋体" w:hint="eastAsia"/>
                <w:color w:val="000000"/>
                <w:kern w:val="0"/>
                <w:sz w:val="18"/>
                <w:szCs w:val="18"/>
              </w:rPr>
              <w:t>要</w:t>
            </w:r>
            <w:proofErr w:type="gramEnd"/>
            <w:r w:rsidRPr="00020C01">
              <w:rPr>
                <w:rFonts w:ascii="宋体" w:eastAsia="宋体" w:hAnsi="宋体" w:cs="宋体" w:hint="eastAsia"/>
                <w:color w:val="000000"/>
                <w:kern w:val="0"/>
                <w:sz w:val="18"/>
                <w:szCs w:val="18"/>
              </w:rPr>
              <w:t>达到的效果（含社会效益、生态效益、经济效益，各10分），如无生态效益和经济效益要求的，则社会效益分值为30分）（对照项目具体绩效目标和指标）；属于政府购买服务项目的,应结合实际收集社会公众满意度信息。</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30</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达标率在60%及以上的按公式计算：达标率得分=实际达标率/100%×30；达标率在60%以下的不得分。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28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r>
      <w:tr w:rsidR="00020C01" w:rsidRPr="00020C01" w:rsidTr="00020C01">
        <w:trPr>
          <w:trHeight w:val="285"/>
        </w:trPr>
        <w:tc>
          <w:tcPr>
            <w:tcW w:w="0" w:type="auto"/>
            <w:gridSpan w:val="12"/>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注：绩效评价结果采用综合评分定级的方法，总分值为100分，绩效评级分优、良、合格、不合格。评价得分在90分及以上的，绩效评级为优；得分在75（含75分）—90分的，绩效评级为良；得分在60（含60分）—75分的，绩效评级为合格；得分在60分以下的，绩效评级为不合格。       </w:t>
            </w:r>
          </w:p>
        </w:tc>
      </w:tr>
      <w:tr w:rsidR="00020C01" w:rsidRPr="00020C01" w:rsidTr="00020C01">
        <w:trPr>
          <w:trHeight w:val="285"/>
        </w:trPr>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375"/>
        </w:trPr>
        <w:tc>
          <w:tcPr>
            <w:tcW w:w="0" w:type="auto"/>
            <w:gridSpan w:val="8"/>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b/>
                <w:bCs/>
                <w:color w:val="000000"/>
                <w:kern w:val="0"/>
                <w:sz w:val="28"/>
                <w:szCs w:val="28"/>
              </w:rPr>
              <w:t>2019年度财政项目绩效</w:t>
            </w:r>
            <w:proofErr w:type="gramStart"/>
            <w:r w:rsidRPr="00020C01">
              <w:rPr>
                <w:rFonts w:ascii="宋体" w:eastAsia="宋体" w:hAnsi="宋体" w:cs="宋体" w:hint="eastAsia"/>
                <w:b/>
                <w:bCs/>
                <w:color w:val="000000"/>
                <w:kern w:val="0"/>
                <w:sz w:val="28"/>
                <w:szCs w:val="28"/>
              </w:rPr>
              <w:t>自评价</w:t>
            </w:r>
            <w:proofErr w:type="gramEnd"/>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项目名称：</w:t>
            </w:r>
          </w:p>
        </w:tc>
        <w:tc>
          <w:tcPr>
            <w:tcW w:w="0" w:type="auto"/>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宣传与推广</w:t>
            </w:r>
          </w:p>
        </w:tc>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主管部门</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上海市松江区应急管理局</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预算单位</w:t>
            </w:r>
          </w:p>
        </w:tc>
        <w:tc>
          <w:tcPr>
            <w:tcW w:w="0" w:type="auto"/>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上海市松江区应急管理局</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当年预算</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637829.2</w:t>
            </w:r>
          </w:p>
        </w:tc>
        <w:tc>
          <w:tcPr>
            <w:tcW w:w="0" w:type="auto"/>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上年预算</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650000</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是否为经常性项目</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是</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金额(元)</w:t>
            </w:r>
          </w:p>
        </w:tc>
        <w:tc>
          <w:tcPr>
            <w:tcW w:w="0" w:type="auto"/>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金额(元)</w:t>
            </w:r>
          </w:p>
        </w:tc>
        <w:tc>
          <w:tcPr>
            <w:tcW w:w="0" w:type="auto"/>
            <w:gridSpan w:val="2"/>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当年执行</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637829.2</w:t>
            </w:r>
          </w:p>
        </w:tc>
        <w:tc>
          <w:tcPr>
            <w:tcW w:w="0" w:type="auto"/>
            <w:vMerge w:val="restart"/>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执行率</w:t>
            </w:r>
          </w:p>
        </w:tc>
        <w:tc>
          <w:tcPr>
            <w:tcW w:w="0" w:type="auto"/>
            <w:gridSpan w:val="5"/>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100.0%</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金额(元)</w:t>
            </w:r>
          </w:p>
        </w:tc>
        <w:tc>
          <w:tcPr>
            <w:tcW w:w="0" w:type="auto"/>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nil"/>
              <w:left w:val="nil"/>
              <w:bottom w:val="nil"/>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5"/>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自评时间</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2020-05-06</w:t>
            </w:r>
          </w:p>
        </w:tc>
        <w:tc>
          <w:tcPr>
            <w:tcW w:w="0" w:type="auto"/>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自评结果</w:t>
            </w:r>
          </w:p>
        </w:tc>
        <w:tc>
          <w:tcPr>
            <w:tcW w:w="0" w:type="auto"/>
            <w:gridSpan w:val="2"/>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自评分：96分</w:t>
            </w:r>
          </w:p>
        </w:tc>
        <w:tc>
          <w:tcPr>
            <w:tcW w:w="0" w:type="auto"/>
            <w:gridSpan w:val="3"/>
            <w:tcBorders>
              <w:top w:val="single" w:sz="8" w:space="0" w:color="000000"/>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vMerge/>
            <w:tcBorders>
              <w:top w:val="nil"/>
              <w:left w:val="single" w:sz="8" w:space="0" w:color="000000"/>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5"/>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绩效等级：优</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2"/>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主要绩效（重点就预算执行、项目管理、产出完</w:t>
            </w:r>
            <w:r w:rsidRPr="00020C01">
              <w:rPr>
                <w:rFonts w:ascii="宋体" w:eastAsia="宋体" w:hAnsi="宋体" w:cs="宋体" w:hint="eastAsia"/>
                <w:color w:val="000000"/>
                <w:kern w:val="0"/>
                <w:sz w:val="18"/>
                <w:szCs w:val="18"/>
              </w:rPr>
              <w:lastRenderedPageBreak/>
              <w:t>成、效果体现等方面简要描述）</w:t>
            </w:r>
          </w:p>
        </w:tc>
        <w:tc>
          <w:tcPr>
            <w:tcW w:w="0" w:type="auto"/>
            <w:gridSpan w:val="3"/>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主要问题（针对扣分指标予以归纳）</w:t>
            </w:r>
          </w:p>
        </w:tc>
        <w:tc>
          <w:tcPr>
            <w:tcW w:w="0" w:type="auto"/>
            <w:gridSpan w:val="3"/>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改进措施（针对问题分别提出，包括时间节点）</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组织“安全生产月”活动。制作20套生产安全事故警示展板在全区巡回展出；组织现场咨询日及城市运行安全体验活动；在</w:t>
            </w:r>
            <w:proofErr w:type="gramStart"/>
            <w:r w:rsidRPr="00020C01">
              <w:rPr>
                <w:rFonts w:ascii="宋体" w:eastAsia="宋体" w:hAnsi="宋体" w:cs="宋体" w:hint="eastAsia"/>
                <w:color w:val="000000"/>
                <w:kern w:val="0"/>
                <w:sz w:val="18"/>
                <w:szCs w:val="18"/>
              </w:rPr>
              <w:t>“茸城应急”微信订阅</w:t>
            </w:r>
            <w:proofErr w:type="gramEnd"/>
            <w:r w:rsidRPr="00020C01">
              <w:rPr>
                <w:rFonts w:ascii="宋体" w:eastAsia="宋体" w:hAnsi="宋体" w:cs="宋体" w:hint="eastAsia"/>
                <w:color w:val="000000"/>
                <w:kern w:val="0"/>
                <w:sz w:val="18"/>
                <w:szCs w:val="18"/>
              </w:rPr>
              <w:t>号上开展基层应急管理先进个人风采展示活动及城市运行安全网络知识竞赛；在《松江报》上开辟专版，宣传安全常识、企业安全文化等；张贴宣传画、标语，悬挂横幅，发放安全生产漫画集（挂图）及其他各类宣传资料3万余份；联合教育部门开展“小手拉大手”安全进学校宣传活动，面向全区每位小学生发放安全宣传折页共计6.3万份；面向市场、菜场、商业综合体等人员密集场所印制发放宣传折页6000份；面向企业员工发放应急处置指南2.25万份。</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宣传力度不够大。</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进一步加强宣传影响力。</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8"/>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项目年度总目标</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1.安全生产月系列活动</w:t>
            </w:r>
            <w:r w:rsidRPr="00020C01">
              <w:rPr>
                <w:rFonts w:ascii="宋体" w:eastAsia="宋体" w:hAnsi="宋体" w:cs="宋体" w:hint="eastAsia"/>
                <w:color w:val="000000"/>
                <w:kern w:val="0"/>
                <w:sz w:val="18"/>
                <w:szCs w:val="18"/>
              </w:rPr>
              <w:br/>
            </w:r>
            <w:r w:rsidRPr="00020C01">
              <w:rPr>
                <w:rFonts w:ascii="宋体" w:eastAsia="宋体" w:hAnsi="宋体" w:cs="宋体" w:hint="eastAsia"/>
                <w:color w:val="000000"/>
                <w:kern w:val="0"/>
                <w:sz w:val="18"/>
                <w:szCs w:val="18"/>
              </w:rPr>
              <w:br/>
            </w:r>
            <w:r w:rsidRPr="00020C01">
              <w:rPr>
                <w:rFonts w:ascii="宋体" w:eastAsia="宋体" w:hAnsi="宋体" w:cs="宋体" w:hint="eastAsia"/>
                <w:color w:val="000000"/>
                <w:kern w:val="0"/>
                <w:sz w:val="18"/>
                <w:szCs w:val="18"/>
              </w:rPr>
              <w:br/>
              <w:t>每年6月，根据全国、上海市“安全生产月”活动要求，结合本区实际，每年6月我们将组织开展松江区“安全生产月”活动，组织开展安全生产月开幕式、安全知识答题竞赛、演讲、征文、设立宣传专版、播放公益广告、张贴横幅、标语等活动，面向基层、面向职工群众，</w:t>
            </w:r>
            <w:proofErr w:type="gramStart"/>
            <w:r w:rsidRPr="00020C01">
              <w:rPr>
                <w:rFonts w:ascii="宋体" w:eastAsia="宋体" w:hAnsi="宋体" w:cs="宋体" w:hint="eastAsia"/>
                <w:color w:val="000000"/>
                <w:kern w:val="0"/>
                <w:sz w:val="18"/>
                <w:szCs w:val="18"/>
              </w:rPr>
              <w:t>以月促年</w:t>
            </w:r>
            <w:proofErr w:type="gramEnd"/>
            <w:r w:rsidRPr="00020C01">
              <w:rPr>
                <w:rFonts w:ascii="宋体" w:eastAsia="宋体" w:hAnsi="宋体" w:cs="宋体" w:hint="eastAsia"/>
                <w:color w:val="000000"/>
                <w:kern w:val="0"/>
                <w:sz w:val="18"/>
                <w:szCs w:val="18"/>
              </w:rPr>
              <w:t>，集中开展内容丰富、形式多样的安全生产系列宣传活动，大力宣传安全生产法律法规和安全知识，注重宣传效果，力求扩大宣传面。</w:t>
            </w:r>
            <w:r w:rsidRPr="00020C01">
              <w:rPr>
                <w:rFonts w:ascii="宋体" w:eastAsia="宋体" w:hAnsi="宋体" w:cs="宋体" w:hint="eastAsia"/>
                <w:color w:val="000000"/>
                <w:kern w:val="0"/>
                <w:sz w:val="18"/>
                <w:szCs w:val="18"/>
              </w:rPr>
              <w:br/>
            </w:r>
            <w:r w:rsidRPr="00020C01">
              <w:rPr>
                <w:rFonts w:ascii="宋体" w:eastAsia="宋体" w:hAnsi="宋体" w:cs="宋体" w:hint="eastAsia"/>
                <w:color w:val="000000"/>
                <w:kern w:val="0"/>
                <w:sz w:val="18"/>
                <w:szCs w:val="18"/>
              </w:rPr>
              <w:br/>
            </w:r>
            <w:r w:rsidRPr="00020C01">
              <w:rPr>
                <w:rFonts w:ascii="宋体" w:eastAsia="宋体" w:hAnsi="宋体" w:cs="宋体" w:hint="eastAsia"/>
                <w:color w:val="000000"/>
                <w:kern w:val="0"/>
                <w:sz w:val="18"/>
                <w:szCs w:val="18"/>
              </w:rPr>
              <w:br/>
              <w:t>2.编印、购买安全生产宣传资料</w:t>
            </w:r>
            <w:r w:rsidRPr="00020C01">
              <w:rPr>
                <w:rFonts w:ascii="宋体" w:eastAsia="宋体" w:hAnsi="宋体" w:cs="宋体" w:hint="eastAsia"/>
                <w:color w:val="000000"/>
                <w:kern w:val="0"/>
                <w:sz w:val="18"/>
                <w:szCs w:val="18"/>
              </w:rPr>
              <w:br/>
            </w:r>
            <w:r w:rsidRPr="00020C01">
              <w:rPr>
                <w:rFonts w:ascii="宋体" w:eastAsia="宋体" w:hAnsi="宋体" w:cs="宋体" w:hint="eastAsia"/>
                <w:color w:val="000000"/>
                <w:kern w:val="0"/>
                <w:sz w:val="18"/>
                <w:szCs w:val="18"/>
              </w:rPr>
              <w:br/>
            </w:r>
            <w:r w:rsidRPr="00020C01">
              <w:rPr>
                <w:rFonts w:ascii="宋体" w:eastAsia="宋体" w:hAnsi="宋体" w:cs="宋体" w:hint="eastAsia"/>
                <w:color w:val="000000"/>
                <w:kern w:val="0"/>
                <w:sz w:val="18"/>
                <w:szCs w:val="18"/>
              </w:rPr>
              <w:br/>
              <w:t>制定年度安全生产宣传资料编印、购买计划，普及安全生产知识，进一步加大安全生产宣传力度，将每年发生的典型事故案例分析汇编成册下发到各基层单位，定期向国家安监总</w:t>
            </w:r>
            <w:r w:rsidRPr="00020C01">
              <w:rPr>
                <w:rFonts w:ascii="宋体" w:eastAsia="宋体" w:hAnsi="宋体" w:cs="宋体" w:hint="eastAsia"/>
                <w:color w:val="000000"/>
                <w:kern w:val="0"/>
                <w:sz w:val="18"/>
                <w:szCs w:val="18"/>
              </w:rPr>
              <w:lastRenderedPageBreak/>
              <w:t>局、市安监局购买实效性、针对性强的专项宣传片、宣传册、宣传画、专业性杂志等，发放到基层、企业。</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b/>
                <w:bCs/>
                <w:color w:val="000000"/>
                <w:kern w:val="0"/>
                <w:sz w:val="18"/>
                <w:szCs w:val="18"/>
              </w:rPr>
              <w:t>主要评价指标（对照经审核过的项目绩效目标）</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指标名称</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指标解释</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权重</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评分规则</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自评分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备注</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总分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96</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90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一、项目设立的规范性</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项目的申请、设立过程是否符合相关要求，用以反映和考核项目立项的规范情况。</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"①项目是否与本部门（单位）职责密切相关；（1分）②项目是否符合部门（单位）年度目标和年度计划；(2分）③项目是否经过本部门（单位）预算评审；（2分）"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02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二、绩效目标合理性</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项目所设定的绩效目标是否依据充分，是否符合客观实际，绩效目标与预算是否匹配。</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是否随同项目预算同时设置和报送绩效目标（1分）②绩效目标是否与项目预算相匹配;（2分）③是否将项目绩效目标细化分解为具体的绩效指标和指标值;（1分）④项目预算编制是否细化和量化（主要体现为依据充分、流程合</w:t>
            </w:r>
            <w:proofErr w:type="gramStart"/>
            <w:r w:rsidRPr="00020C01">
              <w:rPr>
                <w:rFonts w:ascii="宋体" w:eastAsia="宋体" w:hAnsi="宋体" w:cs="宋体" w:hint="eastAsia"/>
                <w:color w:val="000000"/>
                <w:kern w:val="0"/>
                <w:sz w:val="18"/>
                <w:szCs w:val="18"/>
              </w:rPr>
              <w:t>规</w:t>
            </w:r>
            <w:proofErr w:type="gramEnd"/>
            <w:r w:rsidRPr="00020C01">
              <w:rPr>
                <w:rFonts w:ascii="宋体" w:eastAsia="宋体" w:hAnsi="宋体" w:cs="宋体" w:hint="eastAsia"/>
                <w:color w:val="000000"/>
                <w:kern w:val="0"/>
                <w:sz w:val="18"/>
                <w:szCs w:val="18"/>
              </w:rPr>
              <w:t>、数量合适、单价合理、）（4分）    其中：科学细化量化的得4分，基本细化量化的得2分，未细化量化的不得分。"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675"/>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三、预算执行率和资金使用的合</w:t>
            </w:r>
            <w:proofErr w:type="gramStart"/>
            <w:r w:rsidRPr="00020C01">
              <w:rPr>
                <w:rFonts w:ascii="宋体" w:eastAsia="宋体" w:hAnsi="宋体" w:cs="宋体" w:hint="eastAsia"/>
                <w:color w:val="000000"/>
                <w:kern w:val="0"/>
                <w:sz w:val="18"/>
                <w:szCs w:val="18"/>
              </w:rPr>
              <w:t>规</w:t>
            </w:r>
            <w:proofErr w:type="gramEnd"/>
            <w:r w:rsidRPr="00020C01">
              <w:rPr>
                <w:rFonts w:ascii="宋体" w:eastAsia="宋体" w:hAnsi="宋体" w:cs="宋体" w:hint="eastAsia"/>
                <w:color w:val="000000"/>
                <w:kern w:val="0"/>
                <w:sz w:val="18"/>
                <w:szCs w:val="18"/>
              </w:rPr>
              <w:t>性</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反映项目预算执行的进度。</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预算执行率在75%及以上的按公式计算：预算执行率得分=实际预算执行率/100%×8；完成率在75%以下的不得分。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1800"/>
        </w:trPr>
        <w:tc>
          <w:tcPr>
            <w:tcW w:w="0" w:type="auto"/>
            <w:vMerge/>
            <w:tcBorders>
              <w:top w:val="nil"/>
              <w:left w:val="single" w:sz="8" w:space="0" w:color="000000"/>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反映项目资金使用是否符合相关法律法规、制度和规定，项目资金使用是否规范和安全。</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6</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"①资金使用是否符合国家财经法规、财政管理改革要求、财务管理制度，以及有关专项资金管理办法的规定。（包括公务卡、“三公”经费、政府采购</w:t>
            </w:r>
            <w:r w:rsidRPr="00020C01">
              <w:rPr>
                <w:rFonts w:ascii="宋体" w:eastAsia="宋体" w:hAnsi="宋体" w:cs="宋体" w:hint="eastAsia"/>
                <w:color w:val="000000"/>
                <w:kern w:val="0"/>
                <w:sz w:val="18"/>
                <w:szCs w:val="18"/>
              </w:rPr>
              <w:lastRenderedPageBreak/>
              <w:t>等）；（3分）②资金的拨付是否有完整的审批程序和手续；（1分）③是否符合项目预算批复或合同规定的用途；（1分）④资金使用是否执行预算管理改革的相关要求（1分）"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6</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180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四、财务（资产）管理制度的健全性和执行的有效性</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项目的财务制度是否健全、完善、有效，用以反映和考核财务管理制度对资金规范、安全运行的保障情况，以及反映和考核项目实施单位对资金运行的控制情况。</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是否已制定或具有相应的项目资金（资产）管理办法；(1分）②项目资金管理办法是否符合相关财务会计制度的规定。（1分）③是否已制定或具有相应的监控机制；（1分）④是否采取了相应的财务检查等必要的监控措施或手段；（1分）⑤是否按项目进行成本核算，开展必要的项目成本控制。（1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135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五、项目管理制度的健全性和执行的有效性</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与项目直接相关的业务管理制度是否健全、完善和有效，项目实施是否符合相关业务管理规定，是否为达到项目质量要求而采取了必需的措施。</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4</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是否已制定或具有科学合理的业务管理制度；（1分）②项目调整及支出调整手续是否完备；（1分）③项目合同书、验收报告、技术鉴定等资料是否齐全;（1分）④是否采取了有效的项目推进、质量检查、验收等必需的控制措施或手段。（1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4</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67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六、实际完成率（产出数量）</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项目实施的实际产出数量与计划产出数量的比率，用以反映和考核项目产出数量目标的实现程度。（对照项目</w:t>
            </w:r>
            <w:r w:rsidRPr="00020C01">
              <w:rPr>
                <w:rFonts w:ascii="宋体" w:eastAsia="宋体" w:hAnsi="宋体" w:cs="宋体" w:hint="eastAsia"/>
                <w:color w:val="000000"/>
                <w:kern w:val="0"/>
                <w:sz w:val="18"/>
                <w:szCs w:val="18"/>
              </w:rPr>
              <w:lastRenderedPageBreak/>
              <w:t>具体绩效目标和指标）</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12</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实际完成率在60%及以上的按公式计算：实际完成率得分=</w:t>
            </w:r>
            <w:proofErr w:type="gramStart"/>
            <w:r w:rsidRPr="00020C01">
              <w:rPr>
                <w:rFonts w:ascii="宋体" w:eastAsia="宋体" w:hAnsi="宋体" w:cs="宋体" w:hint="eastAsia"/>
                <w:color w:val="000000"/>
                <w:kern w:val="0"/>
                <w:sz w:val="18"/>
                <w:szCs w:val="18"/>
              </w:rPr>
              <w:t>实际完率</w:t>
            </w:r>
            <w:proofErr w:type="gramEnd"/>
            <w:r w:rsidRPr="00020C01">
              <w:rPr>
                <w:rFonts w:ascii="宋体" w:eastAsia="宋体" w:hAnsi="宋体" w:cs="宋体" w:hint="eastAsia"/>
                <w:color w:val="000000"/>
                <w:kern w:val="0"/>
                <w:sz w:val="18"/>
                <w:szCs w:val="18"/>
              </w:rPr>
              <w:t>/100%×12；完成率在60%以下的不得分。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67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七、完成及时率（产出时效）</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项目实际完成时限与项目计划完成时限的比例，用以反映项目完成的及时程度。（对照项目具体绩效目标和指标）</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完成及时率在60%及以上的按公式计算：完成及时率得分=实际完成及时率/100%×10；及时率在60%以下的不得分。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67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八、质量达标率（产出质量）</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项目完成的质量达标产出数与实际产出数的比率，用以反映和考核项目产出的质量状况（对照项目具体绩效目标和指标）</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12</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质量达标率在60%及以上的按公式计算：达标率得分=实际达标率/100%×12；达标率在60%以下的不得分。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12</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135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九、效果达标率</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项目实施是否解决了项目设立时要解决的问题和</w:t>
            </w:r>
            <w:proofErr w:type="gramStart"/>
            <w:r w:rsidRPr="00020C01">
              <w:rPr>
                <w:rFonts w:ascii="宋体" w:eastAsia="宋体" w:hAnsi="宋体" w:cs="宋体" w:hint="eastAsia"/>
                <w:color w:val="000000"/>
                <w:kern w:val="0"/>
                <w:sz w:val="18"/>
                <w:szCs w:val="18"/>
              </w:rPr>
              <w:t>要</w:t>
            </w:r>
            <w:proofErr w:type="gramEnd"/>
            <w:r w:rsidRPr="00020C01">
              <w:rPr>
                <w:rFonts w:ascii="宋体" w:eastAsia="宋体" w:hAnsi="宋体" w:cs="宋体" w:hint="eastAsia"/>
                <w:color w:val="000000"/>
                <w:kern w:val="0"/>
                <w:sz w:val="18"/>
                <w:szCs w:val="18"/>
              </w:rPr>
              <w:t>达到的效果（含社会效益、生态效益、经济效益，各10分），如无生态效益和经济效益要求的，则社会效益分值为30分）（对照项目具体绩效目标和指标）；属于政府购买服务项目的,应结合实际收集社会公众满意度信息。</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30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达标率在60%及以上的按公式计算：达标率得分=实际达标率/100%×30；达标率在60%以下的不得分。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28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8"/>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注：绩效评价结果采用综合评分定级的方法，总分值为100分，绩效评级分优、良、合格、不合格。评价得分在90分及以上的，绩效评级为优；得分在75（含75分）—90分的，绩效评级为良；得分在60（含60分）—75分的，绩效评级为合格；得分在60分以下的，绩效评级为不合格。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3"/>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375"/>
        </w:trPr>
        <w:tc>
          <w:tcPr>
            <w:tcW w:w="0" w:type="auto"/>
            <w:gridSpan w:val="11"/>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b/>
                <w:bCs/>
                <w:color w:val="000000"/>
                <w:kern w:val="0"/>
                <w:sz w:val="28"/>
                <w:szCs w:val="28"/>
              </w:rPr>
              <w:t>2019年度财政项目绩效</w:t>
            </w:r>
            <w:proofErr w:type="gramStart"/>
            <w:r w:rsidRPr="00020C01">
              <w:rPr>
                <w:rFonts w:ascii="宋体" w:eastAsia="宋体" w:hAnsi="宋体" w:cs="宋体" w:hint="eastAsia"/>
                <w:b/>
                <w:bCs/>
                <w:color w:val="000000"/>
                <w:kern w:val="0"/>
                <w:sz w:val="28"/>
                <w:szCs w:val="28"/>
              </w:rPr>
              <w:t>自评价</w:t>
            </w:r>
            <w:proofErr w:type="gramEnd"/>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项目名称：</w:t>
            </w:r>
          </w:p>
        </w:tc>
        <w:tc>
          <w:tcPr>
            <w:tcW w:w="0" w:type="auto"/>
            <w:gridSpan w:val="2"/>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证书评发</w:t>
            </w:r>
          </w:p>
        </w:tc>
        <w:tc>
          <w:tcPr>
            <w:tcW w:w="0" w:type="auto"/>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w:t>
            </w:r>
          </w:p>
        </w:tc>
        <w:tc>
          <w:tcPr>
            <w:tcW w:w="0" w:type="auto"/>
            <w:gridSpan w:val="3"/>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020C01" w:rsidRPr="00020C01" w:rsidRDefault="00020C01" w:rsidP="00020C01">
            <w:pPr>
              <w:widowControl/>
              <w:jc w:val="left"/>
              <w:rPr>
                <w:rFonts w:ascii="宋体" w:eastAsia="宋体" w:hAnsi="宋体" w:cs="宋体"/>
                <w:kern w:val="0"/>
                <w:sz w:val="24"/>
                <w:szCs w:val="24"/>
              </w:rPr>
            </w:pPr>
            <w:r w:rsidRPr="00020C01">
              <w:rPr>
                <w:rFonts w:ascii="Times New Roman" w:eastAsia="宋体" w:hAnsi="Times New Roman" w:cs="Times New Roman"/>
                <w:kern w:val="0"/>
                <w:sz w:val="20"/>
                <w:szCs w:val="20"/>
              </w:rPr>
              <w:t>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主管部门</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上海市松江区应急管理局</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预算单位</w:t>
            </w:r>
          </w:p>
        </w:tc>
        <w:tc>
          <w:tcPr>
            <w:tcW w:w="0" w:type="auto"/>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上海市松江区应急管理局</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当年预算</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1090650</w:t>
            </w:r>
          </w:p>
        </w:tc>
        <w:tc>
          <w:tcPr>
            <w:tcW w:w="0" w:type="auto"/>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上年预算</w:t>
            </w:r>
          </w:p>
        </w:tc>
        <w:tc>
          <w:tcPr>
            <w:tcW w:w="0" w:type="auto"/>
            <w:gridSpan w:val="3"/>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1500000</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是否为经常性项目</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是</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金额(元)</w:t>
            </w:r>
          </w:p>
        </w:tc>
        <w:tc>
          <w:tcPr>
            <w:tcW w:w="0" w:type="auto"/>
            <w:gridSpan w:val="2"/>
            <w:vMerge/>
            <w:tcBorders>
              <w:top w:val="nil"/>
              <w:left w:val="single" w:sz="8" w:space="0" w:color="000000"/>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金额(元)</w:t>
            </w:r>
          </w:p>
        </w:tc>
        <w:tc>
          <w:tcPr>
            <w:tcW w:w="0" w:type="auto"/>
            <w:gridSpan w:val="3"/>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当年执行</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1090650</w:t>
            </w:r>
          </w:p>
        </w:tc>
        <w:tc>
          <w:tcPr>
            <w:tcW w:w="0" w:type="auto"/>
            <w:vMerge w:val="restart"/>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执行率</w:t>
            </w:r>
          </w:p>
        </w:tc>
        <w:tc>
          <w:tcPr>
            <w:tcW w:w="0" w:type="auto"/>
            <w:gridSpan w:val="7"/>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100.0%</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金额(元)</w:t>
            </w:r>
          </w:p>
        </w:tc>
        <w:tc>
          <w:tcPr>
            <w:tcW w:w="0" w:type="auto"/>
            <w:gridSpan w:val="2"/>
            <w:vMerge/>
            <w:tcBorders>
              <w:top w:val="nil"/>
              <w:left w:val="single" w:sz="8" w:space="0" w:color="000000"/>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nil"/>
              <w:left w:val="nil"/>
              <w:bottom w:val="nil"/>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7"/>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自评时间</w:t>
            </w:r>
          </w:p>
        </w:tc>
        <w:tc>
          <w:tcPr>
            <w:tcW w:w="0" w:type="auto"/>
            <w:gridSpan w:val="2"/>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2020-05-06</w:t>
            </w:r>
          </w:p>
        </w:tc>
        <w:tc>
          <w:tcPr>
            <w:tcW w:w="0" w:type="auto"/>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自评结果</w:t>
            </w:r>
          </w:p>
        </w:tc>
        <w:tc>
          <w:tcPr>
            <w:tcW w:w="0" w:type="auto"/>
            <w:gridSpan w:val="3"/>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自评分：86分</w:t>
            </w:r>
          </w:p>
        </w:tc>
        <w:tc>
          <w:tcPr>
            <w:tcW w:w="0" w:type="auto"/>
            <w:gridSpan w:val="4"/>
            <w:tcBorders>
              <w:top w:val="single" w:sz="8" w:space="0" w:color="000000"/>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righ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vMerge/>
            <w:tcBorders>
              <w:top w:val="nil"/>
              <w:left w:val="single" w:sz="8" w:space="0" w:color="000000"/>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7"/>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绩效等级：优</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3"/>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主要绩效（重点就预算执行、项目管理、产出完成、效果体现等方面简要描述）</w:t>
            </w:r>
          </w:p>
        </w:tc>
        <w:tc>
          <w:tcPr>
            <w:tcW w:w="0" w:type="auto"/>
            <w:gridSpan w:val="4"/>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主要问题（针对扣分指标予以归纳）</w:t>
            </w:r>
          </w:p>
        </w:tc>
        <w:tc>
          <w:tcPr>
            <w:tcW w:w="0" w:type="auto"/>
            <w:gridSpan w:val="4"/>
            <w:tcBorders>
              <w:top w:val="nil"/>
              <w:left w:val="nil"/>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改进措施（针对问题分别提出，包括时间节点）</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完成审批危化品经营许可证136家（其中经营不带储存设施112家,自有储存设施1家，加油站23家），危化“三同时”7家。另外，还完成了对34家经营第三类易制毒危险化学品的企业开展备案审查及备案证明发放工作；督促指导从事生产、经营的石油化工企业，以及危险化学品经营单位（不带储存设施）进行应急预案备案共计77家。共审查270家企业初评材料，发放证书51张；审查215家企业期满复评材料，公示196家，发放证书141张</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预算执行力度不高。</w:t>
            </w:r>
          </w:p>
        </w:tc>
        <w:tc>
          <w:tcPr>
            <w:tcW w:w="0" w:type="auto"/>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加强预算执行力度，按财政要求，预算按照季度完成指标。</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11"/>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项目年度总目标</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11"/>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危险化学品企业的行政许可审批备案工作.明确2019年度全区目标完成200家规模以上工业企业、规模以下工业小企业和经营服务业企业达标</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11"/>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b/>
                <w:bCs/>
                <w:color w:val="000000"/>
                <w:kern w:val="0"/>
                <w:sz w:val="18"/>
                <w:szCs w:val="18"/>
              </w:rPr>
              <w:t>主要评价指标（对照经审核过的项目绩效目标）</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指标名称</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指标解释</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权重</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评分规则</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自评分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备注</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总分</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100</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86</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90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一、项目设立的规范性</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项目的申请、设立过程是否符合相关要求，用以反映和考核项目立项的规范情况。</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"①项目是否与本部门（单位）职责密切相关；（1分）②项目是否符合部门（单位）年度目标和年度计划；(2分）③项目是否经过本部门（单位）预算评审；（2分）"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02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二、绩效目标合理性</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项目所设定的绩效目标是否依据充分，是否符合客观实际，绩效目标与预算是否匹配。</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是否随同项目预算同时设置和报送绩效目标（1分）②绩效目标是否与项目预算相匹配;（2分）③是否将项目绩效目标细化分解为具体的绩效指标和指标值;（1分）④项目预算编制是否细化和量化（主要体现为依据充分、流程合</w:t>
            </w:r>
            <w:proofErr w:type="gramStart"/>
            <w:r w:rsidRPr="00020C01">
              <w:rPr>
                <w:rFonts w:ascii="宋体" w:eastAsia="宋体" w:hAnsi="宋体" w:cs="宋体" w:hint="eastAsia"/>
                <w:color w:val="000000"/>
                <w:kern w:val="0"/>
                <w:sz w:val="18"/>
                <w:szCs w:val="18"/>
              </w:rPr>
              <w:t>规</w:t>
            </w:r>
            <w:proofErr w:type="gramEnd"/>
            <w:r w:rsidRPr="00020C01">
              <w:rPr>
                <w:rFonts w:ascii="宋体" w:eastAsia="宋体" w:hAnsi="宋体" w:cs="宋体" w:hint="eastAsia"/>
                <w:color w:val="000000"/>
                <w:kern w:val="0"/>
                <w:sz w:val="18"/>
                <w:szCs w:val="18"/>
              </w:rPr>
              <w:t>、数量合适、单价合理、）（4分）    其中：科学细化量化的得4分，基本细化量化的得2分，未细化量化的不得分。"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675"/>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三、预算执行率和资金使用的合</w:t>
            </w:r>
            <w:proofErr w:type="gramStart"/>
            <w:r w:rsidRPr="00020C01">
              <w:rPr>
                <w:rFonts w:ascii="宋体" w:eastAsia="宋体" w:hAnsi="宋体" w:cs="宋体" w:hint="eastAsia"/>
                <w:color w:val="000000"/>
                <w:kern w:val="0"/>
                <w:sz w:val="18"/>
                <w:szCs w:val="18"/>
              </w:rPr>
              <w:t>规</w:t>
            </w:r>
            <w:proofErr w:type="gramEnd"/>
            <w:r w:rsidRPr="00020C01">
              <w:rPr>
                <w:rFonts w:ascii="宋体" w:eastAsia="宋体" w:hAnsi="宋体" w:cs="宋体" w:hint="eastAsia"/>
                <w:color w:val="000000"/>
                <w:kern w:val="0"/>
                <w:sz w:val="18"/>
                <w:szCs w:val="18"/>
              </w:rPr>
              <w:t>性</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反映项目预算执行的进度。</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预算执行率在75%及以上的按公式计算：预算执行率得分=实际预算执行率/100%×8；完成率在75%以下的不得分。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1800"/>
        </w:trPr>
        <w:tc>
          <w:tcPr>
            <w:tcW w:w="0" w:type="auto"/>
            <w:vMerge/>
            <w:tcBorders>
              <w:top w:val="nil"/>
              <w:left w:val="single" w:sz="8" w:space="0" w:color="000000"/>
              <w:bottom w:val="single" w:sz="8" w:space="0" w:color="000000"/>
              <w:right w:val="single" w:sz="8" w:space="0" w:color="000000"/>
            </w:tcBorders>
            <w:vAlign w:val="center"/>
            <w:hideMark/>
          </w:tcPr>
          <w:p w:rsidR="00020C01" w:rsidRPr="00020C01" w:rsidRDefault="00020C01" w:rsidP="00020C01">
            <w:pPr>
              <w:widowControl/>
              <w:jc w:val="left"/>
              <w:rPr>
                <w:rFonts w:ascii="宋体" w:eastAsia="宋体" w:hAnsi="宋体" w:cs="宋体"/>
                <w:kern w:val="0"/>
                <w:sz w:val="24"/>
                <w:szCs w:val="24"/>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反映项目资金使用是否符合相关法律法规、制度和规定，项目资金使用是否规范和安全。</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6</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资金使用是否符合国家财经法规、财政管理改革要求、财务管理制度，以及有关专项资金管理办法的规定。（包括公务卡、“三公”经费、政府采购等）；（3分）②资金的拨付是否有完整的审批程序和手续；（1分）③是否符合项目预算批复</w:t>
            </w:r>
            <w:r w:rsidRPr="00020C01">
              <w:rPr>
                <w:rFonts w:ascii="宋体" w:eastAsia="宋体" w:hAnsi="宋体" w:cs="宋体" w:hint="eastAsia"/>
                <w:color w:val="000000"/>
                <w:kern w:val="0"/>
                <w:sz w:val="18"/>
                <w:szCs w:val="18"/>
              </w:rPr>
              <w:lastRenderedPageBreak/>
              <w:t>或合同规定的用途；（1分）④资金使用是否执行预算管理改革的相关要求（1分）"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6</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180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四、财务（资产）管理制度的健全性和执行的有效性</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项目的财务制度是否健全、完善、有效，用以反映和考核财务管理制度对资金规范、安全运行的保障情况，以及反映和考核项目实施单位对资金运行的控制情况。</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是否已制定或具有相应的项目资金（资产）管理办法；(1分）②项目资金管理办法是否符合相关财务会计制度的规定。（1分）③是否已制定或具有相应的监控机制；（1分）④是否采取了相应的财务检查等必要的监控措施或手段；（1分）⑤是否按项目进行成本核算，开展必要的项目成本控制。（1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135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五、项目管理制度的健全性和执行的有效性</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与项目直接相关的业务管理制度是否健全、完善和有效，项目实施是否符合相关业务管理规定，是否为达到项目质量要求而采取了必需的措施。</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4</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①是否已制定或具有科学合理的业务管理制度；（1分）②项目调整及支出调整手续是否完备；（1分）③项目合同书、验收报告、技术鉴定等资料是否齐全;（1分）④是否采取了有效的项目推进、质量检查、验收等必需的控制措施或手段。（1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4</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67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六、实际完成率（产出数量）</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项目实施的实际产出数量与计划产出数量的比率，用以反映和考核项目产出数量目标的实现程度。（对照项目具体绩效目标和指标）</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12</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实际完成率在60%及以上的按公式计算：实际完成率得分=</w:t>
            </w:r>
            <w:proofErr w:type="gramStart"/>
            <w:r w:rsidRPr="00020C01">
              <w:rPr>
                <w:rFonts w:ascii="宋体" w:eastAsia="宋体" w:hAnsi="宋体" w:cs="宋体" w:hint="eastAsia"/>
                <w:color w:val="000000"/>
                <w:kern w:val="0"/>
                <w:sz w:val="18"/>
                <w:szCs w:val="18"/>
              </w:rPr>
              <w:t>实际完率</w:t>
            </w:r>
            <w:proofErr w:type="gramEnd"/>
            <w:r w:rsidRPr="00020C01">
              <w:rPr>
                <w:rFonts w:ascii="宋体" w:eastAsia="宋体" w:hAnsi="宋体" w:cs="宋体" w:hint="eastAsia"/>
                <w:color w:val="000000"/>
                <w:kern w:val="0"/>
                <w:sz w:val="18"/>
                <w:szCs w:val="18"/>
              </w:rPr>
              <w:t>/100%×12；完成率在60%以下的不得分。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67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七、完成及时率（产出时效）</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项目实际完成时限与项目计划完成时限的比例，用以反映项目完成的及时程度。（对照项目具体绩效目标和指标）</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10</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完成及时率在60%及以上的按公式计算：完成及时率得分=实际完成及时率/100%×10；及时率在60%以下的不得分。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67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lastRenderedPageBreak/>
              <w:t>八、质量达标率（产出质量）</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项目完成的质量达标产出数与实际产出数的比率，用以反映和考核项目产出的质量状况（对照项目具体绩效目标和指标）</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12</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质量达标率在60%及以上的按公式计算：达标率得分=实际达标率/100%×12；达标率在60%以下的不得分。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135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九、效果达标率</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项目实施是否解决了项目设立时要解决的问题和</w:t>
            </w:r>
            <w:proofErr w:type="gramStart"/>
            <w:r w:rsidRPr="00020C01">
              <w:rPr>
                <w:rFonts w:ascii="宋体" w:eastAsia="宋体" w:hAnsi="宋体" w:cs="宋体" w:hint="eastAsia"/>
                <w:color w:val="000000"/>
                <w:kern w:val="0"/>
                <w:sz w:val="18"/>
                <w:szCs w:val="18"/>
              </w:rPr>
              <w:t>要</w:t>
            </w:r>
            <w:proofErr w:type="gramEnd"/>
            <w:r w:rsidRPr="00020C01">
              <w:rPr>
                <w:rFonts w:ascii="宋体" w:eastAsia="宋体" w:hAnsi="宋体" w:cs="宋体" w:hint="eastAsia"/>
                <w:color w:val="000000"/>
                <w:kern w:val="0"/>
                <w:sz w:val="18"/>
                <w:szCs w:val="18"/>
              </w:rPr>
              <w:t>达到的效果（含社会效益、生态效益、经济效益，各10分），如无生态效益和经济效益要求的，则社会效益分值为30分）（对照项目具体绩效目标和指标）；属于政府购买服务项目的,应结合实际收集社会公众满意度信息。</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30</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达标率在60%及以上的按公式计算：达标率得分=实际达标率/100%×30；达标率在60%以下的不得分。</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center"/>
              <w:rPr>
                <w:rFonts w:ascii="宋体" w:eastAsia="宋体" w:hAnsi="宋体" w:cs="宋体"/>
                <w:kern w:val="0"/>
                <w:sz w:val="24"/>
                <w:szCs w:val="24"/>
              </w:rPr>
            </w:pPr>
            <w:r w:rsidRPr="00020C01">
              <w:rPr>
                <w:rFonts w:ascii="宋体" w:eastAsia="宋体" w:hAnsi="宋体" w:cs="宋体" w:hint="eastAsia"/>
                <w:color w:val="000000"/>
                <w:kern w:val="0"/>
                <w:sz w:val="18"/>
                <w:szCs w:val="18"/>
              </w:rPr>
              <w:t>24</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 xml:space="preserve">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r w:rsidR="00020C01" w:rsidRPr="00020C01" w:rsidTr="00020C01">
        <w:trPr>
          <w:trHeight w:val="285"/>
        </w:trPr>
        <w:tc>
          <w:tcPr>
            <w:tcW w:w="0" w:type="auto"/>
            <w:gridSpan w:val="11"/>
            <w:tcBorders>
              <w:top w:val="nil"/>
              <w:left w:val="nil"/>
              <w:bottom w:val="nil"/>
              <w:right w:val="nil"/>
            </w:tcBorders>
            <w:tcMar>
              <w:top w:w="0" w:type="dxa"/>
              <w:left w:w="108" w:type="dxa"/>
              <w:bottom w:w="0" w:type="dxa"/>
              <w:right w:w="108" w:type="dxa"/>
            </w:tcMar>
            <w:vAlign w:val="center"/>
            <w:hideMark/>
          </w:tcPr>
          <w:p w:rsidR="00020C01" w:rsidRPr="00020C01" w:rsidRDefault="00020C01" w:rsidP="00020C01">
            <w:pPr>
              <w:widowControl/>
              <w:jc w:val="left"/>
              <w:rPr>
                <w:rFonts w:ascii="宋体" w:eastAsia="宋体" w:hAnsi="宋体" w:cs="宋体"/>
                <w:kern w:val="0"/>
                <w:sz w:val="24"/>
                <w:szCs w:val="24"/>
              </w:rPr>
            </w:pPr>
            <w:r w:rsidRPr="00020C01">
              <w:rPr>
                <w:rFonts w:ascii="宋体" w:eastAsia="宋体" w:hAnsi="宋体" w:cs="宋体" w:hint="eastAsia"/>
                <w:color w:val="000000"/>
                <w:kern w:val="0"/>
                <w:sz w:val="18"/>
                <w:szCs w:val="18"/>
              </w:rPr>
              <w:t>注：绩效评价结果采用综合评分定级的方法，总分值为100分，绩效评级分优、良、合格、不合格。评价得分在90分及以上的，绩效评级为优；得分在75（含75分）—90分的，绩效评级为良；得分在60（含60分）—75分的，绩效评级为合格；得分在60分以下的，绩效评级为不合格。       </w:t>
            </w:r>
          </w:p>
        </w:tc>
        <w:tc>
          <w:tcPr>
            <w:tcW w:w="0" w:type="auto"/>
            <w:vAlign w:val="center"/>
            <w:hideMark/>
          </w:tcPr>
          <w:p w:rsidR="00020C01" w:rsidRPr="00020C01" w:rsidRDefault="00020C01" w:rsidP="00020C01">
            <w:pPr>
              <w:widowControl/>
              <w:jc w:val="left"/>
              <w:rPr>
                <w:rFonts w:ascii="Times New Roman" w:eastAsia="Times New Roman" w:hAnsi="Times New Roman" w:cs="Times New Roman"/>
                <w:kern w:val="0"/>
                <w:sz w:val="20"/>
                <w:szCs w:val="20"/>
              </w:rPr>
            </w:pPr>
          </w:p>
        </w:tc>
      </w:tr>
    </w:tbl>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宋体" w:eastAsia="宋体" w:hAnsi="宋体" w:cs="宋体" w:hint="eastAsia"/>
          <w:color w:val="333333"/>
          <w:kern w:val="0"/>
          <w:sz w:val="24"/>
          <w:szCs w:val="24"/>
        </w:rPr>
        <w:t> </w:t>
      </w:r>
    </w:p>
    <w:p w:rsidR="00020C01" w:rsidRPr="00020C01" w:rsidRDefault="00020C01" w:rsidP="00020C01">
      <w:pPr>
        <w:widowControl/>
        <w:jc w:val="center"/>
        <w:rPr>
          <w:rFonts w:ascii="微软雅黑" w:eastAsia="微软雅黑" w:hAnsi="微软雅黑" w:cs="宋体"/>
          <w:color w:val="333333"/>
          <w:kern w:val="0"/>
          <w:szCs w:val="21"/>
        </w:rPr>
      </w:pPr>
      <w:r w:rsidRPr="00020C01">
        <w:rPr>
          <w:rFonts w:ascii="黑体" w:eastAsia="黑体" w:hAnsi="黑体" w:cs="宋体" w:hint="eastAsia"/>
          <w:color w:val="333333"/>
          <w:kern w:val="0"/>
          <w:sz w:val="30"/>
          <w:szCs w:val="30"/>
        </w:rPr>
        <w:br w:type="textWrapping" w:clear="all"/>
        <w:t>第四部分</w:t>
      </w:r>
      <w:r w:rsidRPr="00020C01">
        <w:rPr>
          <w:rFonts w:ascii="Calibri" w:eastAsia="黑体" w:hAnsi="Calibri" w:cs="Calibri"/>
          <w:color w:val="333333"/>
          <w:kern w:val="0"/>
          <w:sz w:val="30"/>
          <w:szCs w:val="30"/>
        </w:rPr>
        <w:t>    </w:t>
      </w:r>
      <w:r w:rsidRPr="00020C01">
        <w:rPr>
          <w:rFonts w:ascii="黑体" w:eastAsia="黑体" w:hAnsi="黑体" w:cs="宋体" w:hint="eastAsia"/>
          <w:color w:val="333333"/>
          <w:kern w:val="0"/>
          <w:sz w:val="30"/>
          <w:szCs w:val="30"/>
        </w:rPr>
        <w:t>名词解释</w:t>
      </w:r>
    </w:p>
    <w:p w:rsidR="00020C01" w:rsidRPr="00020C01" w:rsidRDefault="00020C01" w:rsidP="00020C01">
      <w:pPr>
        <w:widowControl/>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 </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一、财政拨款收入：指单位本年度从本级财政部门取得的财政拨款，包括一般公共预算财政拨款和政府性基金预算财政拨款。</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二、事业收入：指事业单位开展专业业务活动及其辅助活动取得的收入。</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lastRenderedPageBreak/>
        <w:t>三、经营收入：指事业单位在专业业务活动及其辅助活动之外开展非独立核算经营活动取得的收入。</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四、其他收入：指单位取得的除“财政拨款收入”、“事业收入”、“经营收入”等以外的收入。</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五、年初结转和结余：指以前年度尚未完成、结转到本年按有关规定继续使用的资金。</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六、年末结转和结余：指本年度或以前年度预算安排、因客观条件发生变化无法按原计划实施，需延迟到以后年度按有关规定继续使用的资金。</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七、基本支出：指单位为保障机构正常运转、完成日常工作任务而发生的各项支出。</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八、项目支出：指单位为完成特定的行政工作任务或事业发展目标，在基本支出之外发生的各项支出。</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九、经营支出：指事业单位在专业活动及辅助活动之外开展非独立核算经营活动发生的支出。</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十、“三公”经费：指单位使用本级财政拨款安排的因公出国（境）费、公务用车购置及运行维护费和公务接待费。其中:因公出国（境）</w:t>
      </w:r>
      <w:proofErr w:type="gramStart"/>
      <w:r w:rsidRPr="00020C01">
        <w:rPr>
          <w:rFonts w:ascii="仿宋_GB2312" w:eastAsia="仿宋_GB2312" w:hAnsi="微软雅黑" w:cs="宋体" w:hint="eastAsia"/>
          <w:color w:val="333333"/>
          <w:kern w:val="0"/>
          <w:sz w:val="30"/>
          <w:szCs w:val="30"/>
        </w:rPr>
        <w:t>费反映</w:t>
      </w:r>
      <w:proofErr w:type="gramEnd"/>
      <w:r w:rsidRPr="00020C01">
        <w:rPr>
          <w:rFonts w:ascii="仿宋_GB2312" w:eastAsia="仿宋_GB2312" w:hAnsi="微软雅黑" w:cs="宋体" w:hint="eastAsia"/>
          <w:color w:val="333333"/>
          <w:kern w:val="0"/>
          <w:sz w:val="30"/>
          <w:szCs w:val="30"/>
        </w:rPr>
        <w:t>单位参加国际合作交流、重大项目洽谈、境外培训研修等的国际旅费、国外城市间交通费、住宿费、伙食费、培训费、公杂费等支出；公务接待</w:t>
      </w:r>
      <w:proofErr w:type="gramStart"/>
      <w:r w:rsidRPr="00020C01">
        <w:rPr>
          <w:rFonts w:ascii="仿宋_GB2312" w:eastAsia="仿宋_GB2312" w:hAnsi="微软雅黑" w:cs="宋体" w:hint="eastAsia"/>
          <w:color w:val="333333"/>
          <w:kern w:val="0"/>
          <w:sz w:val="30"/>
          <w:szCs w:val="30"/>
        </w:rPr>
        <w:t>费反映</w:t>
      </w:r>
      <w:proofErr w:type="gramEnd"/>
      <w:r w:rsidRPr="00020C01">
        <w:rPr>
          <w:rFonts w:ascii="仿宋_GB2312" w:eastAsia="仿宋_GB2312" w:hAnsi="微软雅黑" w:cs="宋体" w:hint="eastAsia"/>
          <w:color w:val="333333"/>
          <w:kern w:val="0"/>
          <w:sz w:val="30"/>
          <w:szCs w:val="30"/>
        </w:rPr>
        <w:t>全国性专业会议、国家重大政策调研、专项检查以及外事团组接待交流等执行公务或开展业务所需住宿费、交通费、伙食费等支</w:t>
      </w:r>
      <w:r w:rsidRPr="00020C01">
        <w:rPr>
          <w:rFonts w:ascii="仿宋_GB2312" w:eastAsia="仿宋_GB2312" w:hAnsi="微软雅黑" w:cs="宋体" w:hint="eastAsia"/>
          <w:color w:val="333333"/>
          <w:kern w:val="0"/>
          <w:sz w:val="30"/>
          <w:szCs w:val="30"/>
        </w:rPr>
        <w:lastRenderedPageBreak/>
        <w:t>出；公务用车购置及运行维护费反映编制内公务车辆的报废更新，以及用于安排市内因公出差、公务文件交换、日常工作开展等所需公务用车燃料费、维修费、过路过桥费、保险费等支出。</w:t>
      </w:r>
    </w:p>
    <w:p w:rsidR="00020C01" w:rsidRPr="00020C01" w:rsidRDefault="00020C01" w:rsidP="00020C01">
      <w:pPr>
        <w:widowControl/>
        <w:ind w:firstLine="600"/>
        <w:jc w:val="left"/>
        <w:rPr>
          <w:rFonts w:ascii="微软雅黑" w:eastAsia="微软雅黑" w:hAnsi="微软雅黑" w:cs="宋体"/>
          <w:color w:val="333333"/>
          <w:kern w:val="0"/>
          <w:szCs w:val="21"/>
        </w:rPr>
      </w:pPr>
      <w:r w:rsidRPr="00020C01">
        <w:rPr>
          <w:rFonts w:ascii="仿宋_GB2312" w:eastAsia="仿宋_GB2312" w:hAnsi="微软雅黑" w:cs="宋体" w:hint="eastAsia"/>
          <w:color w:val="333333"/>
          <w:kern w:val="0"/>
          <w:sz w:val="30"/>
          <w:szCs w:val="30"/>
        </w:rPr>
        <w:t>十一、机关运行经费：指行政单位和参照公务员法管理的事业单位使用一般公共预算财政拨款安排的基本支出中的日常公用经费支出。</w:t>
      </w:r>
    </w:p>
    <w:p w:rsidR="00416BF4" w:rsidRDefault="00416BF4"/>
    <w:sectPr w:rsidR="00416B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513" w:rsidRDefault="00461513" w:rsidP="00461513">
      <w:r>
        <w:separator/>
      </w:r>
    </w:p>
  </w:endnote>
  <w:endnote w:type="continuationSeparator" w:id="0">
    <w:p w:rsidR="00461513" w:rsidRDefault="00461513" w:rsidP="0046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513" w:rsidRDefault="00461513" w:rsidP="00461513">
      <w:r>
        <w:separator/>
      </w:r>
    </w:p>
  </w:footnote>
  <w:footnote w:type="continuationSeparator" w:id="0">
    <w:p w:rsidR="00461513" w:rsidRDefault="00461513" w:rsidP="00461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01"/>
    <w:rsid w:val="00020C01"/>
    <w:rsid w:val="000B3A0A"/>
    <w:rsid w:val="00416BF4"/>
    <w:rsid w:val="00461513"/>
    <w:rsid w:val="005125F2"/>
    <w:rsid w:val="00876921"/>
    <w:rsid w:val="00BC3AD7"/>
    <w:rsid w:val="00CE6305"/>
    <w:rsid w:val="00D31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0B2A40D-C026-4B05-8844-171A6897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20C01"/>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020C01"/>
    <w:pPr>
      <w:widowControl/>
      <w:spacing w:before="100" w:beforeAutospacing="1" w:after="100" w:afterAutospacing="1"/>
      <w:jc w:val="left"/>
    </w:pPr>
    <w:rPr>
      <w:rFonts w:ascii="宋体" w:eastAsia="宋体" w:hAnsi="宋体" w:cs="宋体"/>
      <w:kern w:val="0"/>
      <w:sz w:val="24"/>
      <w:szCs w:val="24"/>
    </w:rPr>
  </w:style>
  <w:style w:type="paragraph" w:customStyle="1" w:styleId="15">
    <w:name w:val="15"/>
    <w:basedOn w:val="a"/>
    <w:rsid w:val="00020C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46151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1513"/>
    <w:rPr>
      <w:sz w:val="18"/>
      <w:szCs w:val="18"/>
    </w:rPr>
  </w:style>
  <w:style w:type="paragraph" w:styleId="a6">
    <w:name w:val="footer"/>
    <w:basedOn w:val="a"/>
    <w:link w:val="a7"/>
    <w:uiPriority w:val="99"/>
    <w:unhideWhenUsed/>
    <w:rsid w:val="00461513"/>
    <w:pPr>
      <w:tabs>
        <w:tab w:val="center" w:pos="4153"/>
        <w:tab w:val="right" w:pos="8306"/>
      </w:tabs>
      <w:snapToGrid w:val="0"/>
      <w:jc w:val="left"/>
    </w:pPr>
    <w:rPr>
      <w:sz w:val="18"/>
      <w:szCs w:val="18"/>
    </w:rPr>
  </w:style>
  <w:style w:type="character" w:customStyle="1" w:styleId="a7">
    <w:name w:val="页脚 字符"/>
    <w:basedOn w:val="a0"/>
    <w:link w:val="a6"/>
    <w:uiPriority w:val="99"/>
    <w:rsid w:val="004615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6494">
      <w:bodyDiv w:val="1"/>
      <w:marLeft w:val="0"/>
      <w:marRight w:val="0"/>
      <w:marTop w:val="0"/>
      <w:marBottom w:val="0"/>
      <w:divBdr>
        <w:top w:val="none" w:sz="0" w:space="0" w:color="auto"/>
        <w:left w:val="none" w:sz="0" w:space="0" w:color="auto"/>
        <w:bottom w:val="none" w:sz="0" w:space="0" w:color="auto"/>
        <w:right w:val="none" w:sz="0" w:space="0" w:color="auto"/>
      </w:divBdr>
      <w:divsChild>
        <w:div w:id="408113131">
          <w:marLeft w:val="-450"/>
          <w:marRight w:val="0"/>
          <w:marTop w:val="150"/>
          <w:marBottom w:val="0"/>
          <w:divBdr>
            <w:top w:val="none" w:sz="0" w:space="0" w:color="auto"/>
            <w:left w:val="none" w:sz="0" w:space="0" w:color="auto"/>
            <w:bottom w:val="none" w:sz="0" w:space="0" w:color="auto"/>
            <w:right w:val="none" w:sz="0" w:space="0" w:color="auto"/>
          </w:divBdr>
        </w:div>
        <w:div w:id="1409499805">
          <w:marLeft w:val="0"/>
          <w:marRight w:val="0"/>
          <w:marTop w:val="390"/>
          <w:marBottom w:val="0"/>
          <w:divBdr>
            <w:top w:val="dashed" w:sz="6" w:space="19" w:color="EEEEEE"/>
            <w:left w:val="none" w:sz="0" w:space="0" w:color="auto"/>
            <w:bottom w:val="single" w:sz="6" w:space="30" w:color="EEEEEE"/>
            <w:right w:val="none" w:sz="0" w:space="0" w:color="auto"/>
          </w:divBdr>
          <w:divsChild>
            <w:div w:id="963199621">
              <w:marLeft w:val="0"/>
              <w:marRight w:val="0"/>
              <w:marTop w:val="0"/>
              <w:marBottom w:val="0"/>
              <w:divBdr>
                <w:top w:val="none" w:sz="0" w:space="0" w:color="auto"/>
                <w:left w:val="none" w:sz="0" w:space="0" w:color="auto"/>
                <w:bottom w:val="none" w:sz="0" w:space="0" w:color="auto"/>
                <w:right w:val="none" w:sz="0" w:space="0" w:color="auto"/>
              </w:divBdr>
            </w:div>
            <w:div w:id="86004210">
              <w:marLeft w:val="0"/>
              <w:marRight w:val="0"/>
              <w:marTop w:val="0"/>
              <w:marBottom w:val="0"/>
              <w:divBdr>
                <w:top w:val="none" w:sz="0" w:space="0" w:color="auto"/>
                <w:left w:val="none" w:sz="0" w:space="0" w:color="auto"/>
                <w:bottom w:val="none" w:sz="0" w:space="0" w:color="auto"/>
                <w:right w:val="none" w:sz="0" w:space="0" w:color="auto"/>
              </w:divBdr>
            </w:div>
            <w:div w:id="374816734">
              <w:marLeft w:val="0"/>
              <w:marRight w:val="0"/>
              <w:marTop w:val="0"/>
              <w:marBottom w:val="0"/>
              <w:divBdr>
                <w:top w:val="none" w:sz="0" w:space="0" w:color="auto"/>
                <w:left w:val="none" w:sz="0" w:space="0" w:color="auto"/>
                <w:bottom w:val="none" w:sz="0" w:space="0" w:color="auto"/>
                <w:right w:val="none" w:sz="0" w:space="0" w:color="auto"/>
              </w:divBdr>
            </w:div>
            <w:div w:id="2112044961">
              <w:marLeft w:val="0"/>
              <w:marRight w:val="0"/>
              <w:marTop w:val="0"/>
              <w:marBottom w:val="0"/>
              <w:divBdr>
                <w:top w:val="none" w:sz="0" w:space="0" w:color="auto"/>
                <w:left w:val="none" w:sz="0" w:space="0" w:color="auto"/>
                <w:bottom w:val="none" w:sz="0" w:space="0" w:color="auto"/>
                <w:right w:val="none" w:sz="0" w:space="0" w:color="auto"/>
              </w:divBdr>
            </w:div>
            <w:div w:id="12838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37</Pages>
  <Words>3257</Words>
  <Characters>18568</Characters>
  <Application>Microsoft Office Word</Application>
  <DocSecurity>0</DocSecurity>
  <Lines>154</Lines>
  <Paragraphs>43</Paragraphs>
  <ScaleCrop>false</ScaleCrop>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陈烨敏</dc:creator>
  <cp:keywords/>
  <dc:description/>
  <cp:lastModifiedBy>陈烨敏</cp:lastModifiedBy>
  <cp:revision>8</cp:revision>
  <dcterms:created xsi:type="dcterms:W3CDTF">2021-05-18T09:08:00Z</dcterms:created>
  <dcterms:modified xsi:type="dcterms:W3CDTF">2021-05-21T05:59:00Z</dcterms:modified>
</cp:coreProperties>
</file>